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cs="仿宋"/>
          <w:i w:val="0"/>
          <w:caps w:val="0"/>
          <w:color w:val="222222"/>
          <w:spacing w:val="0"/>
          <w:kern w:val="0"/>
          <w:sz w:val="32"/>
          <w:szCs w:val="32"/>
          <w:shd w:val="clear" w:fill="FFFFFF"/>
          <w:lang w:val="en-US" w:eastAsia="zh-CN" w:bidi="ar"/>
        </w:rPr>
      </w:pPr>
    </w:p>
    <w:p>
      <w:pPr>
        <w:jc w:val="left"/>
        <w:rPr>
          <w:rFonts w:hint="eastAsia" w:ascii="仿宋" w:hAnsi="仿宋" w:eastAsia="仿宋" w:cs="仿宋"/>
          <w:b w:val="0"/>
          <w:bCs/>
          <w:sz w:val="36"/>
          <w:szCs w:val="36"/>
          <w:lang w:val="en-US" w:eastAsia="zh-CN"/>
        </w:rPr>
      </w:pPr>
      <w:r>
        <w:rPr>
          <w:rFonts w:hint="eastAsia" w:ascii="仿宋" w:hAnsi="仿宋" w:eastAsia="仿宋" w:cs="仿宋"/>
          <w:b w:val="0"/>
          <w:bCs/>
          <w:sz w:val="36"/>
          <w:szCs w:val="36"/>
          <w:lang w:val="en-US" w:eastAsia="zh-CN"/>
        </w:rPr>
        <w:t>附件一：</w:t>
      </w:r>
    </w:p>
    <w:p>
      <w:pPr>
        <w:widowControl/>
        <w:jc w:val="center"/>
        <w:rPr>
          <w:b/>
          <w:sz w:val="44"/>
          <w:szCs w:val="44"/>
        </w:rPr>
      </w:pPr>
      <w:r>
        <w:rPr>
          <w:b/>
          <w:sz w:val="44"/>
          <w:szCs w:val="44"/>
        </w:rPr>
        <w:drawing>
          <wp:inline distT="0" distB="0" distL="0" distR="0">
            <wp:extent cx="1788795" cy="1724660"/>
            <wp:effectExtent l="0" t="0" r="1905" b="8890"/>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4" cstate="print"/>
                    <a:srcRect/>
                    <a:stretch>
                      <a:fillRect/>
                    </a:stretch>
                  </pic:blipFill>
                  <pic:spPr>
                    <a:xfrm>
                      <a:off x="0" y="0"/>
                      <a:ext cx="1789183" cy="1725283"/>
                    </a:xfrm>
                    <a:prstGeom prst="rect">
                      <a:avLst/>
                    </a:prstGeom>
                  </pic:spPr>
                </pic:pic>
              </a:graphicData>
            </a:graphic>
          </wp:inline>
        </w:drawing>
      </w:r>
    </w:p>
    <w:p>
      <w:pPr>
        <w:widowControl/>
        <w:jc w:val="center"/>
        <w:rPr>
          <w:b/>
          <w:sz w:val="44"/>
          <w:szCs w:val="44"/>
        </w:rPr>
      </w:pPr>
      <w:r>
        <w:rPr>
          <w:rFonts w:hint="eastAsia"/>
          <w:b/>
          <w:sz w:val="44"/>
          <w:szCs w:val="44"/>
        </w:rPr>
        <w:drawing>
          <wp:anchor distT="0" distB="0" distL="0" distR="0" simplePos="0" relativeHeight="1024" behindDoc="0" locked="0" layoutInCell="1" allowOverlap="1">
            <wp:simplePos x="0" y="0"/>
            <wp:positionH relativeFrom="column">
              <wp:posOffset>702945</wp:posOffset>
            </wp:positionH>
            <wp:positionV relativeFrom="paragraph">
              <wp:posOffset>19050</wp:posOffset>
            </wp:positionV>
            <wp:extent cx="4010660" cy="755650"/>
            <wp:effectExtent l="0" t="0" r="8890" b="6350"/>
            <wp:wrapNone/>
            <wp:docPr id="1027" name="图片 3" descr="江西财经大学（新）.bmp"/>
            <wp:cNvGraphicFramePr/>
            <a:graphic xmlns:a="http://schemas.openxmlformats.org/drawingml/2006/main">
              <a:graphicData uri="http://schemas.openxmlformats.org/drawingml/2006/picture">
                <pic:pic xmlns:pic="http://schemas.openxmlformats.org/drawingml/2006/picture">
                  <pic:nvPicPr>
                    <pic:cNvPr id="1027" name="图片 3" descr="江西财经大学（新）.bmp"/>
                    <pic:cNvPicPr/>
                  </pic:nvPicPr>
                  <pic:blipFill>
                    <a:blip r:embed="rId5" cstate="print"/>
                    <a:srcRect/>
                    <a:stretch>
                      <a:fillRect/>
                    </a:stretch>
                  </pic:blipFill>
                  <pic:spPr>
                    <a:xfrm>
                      <a:off x="0" y="0"/>
                      <a:ext cx="4010660" cy="755650"/>
                    </a:xfrm>
                    <a:prstGeom prst="rect">
                      <a:avLst/>
                    </a:prstGeom>
                    <a:ln>
                      <a:noFill/>
                    </a:ln>
                  </pic:spPr>
                </pic:pic>
              </a:graphicData>
            </a:graphic>
          </wp:anchor>
        </w:drawing>
      </w:r>
    </w:p>
    <w:p>
      <w:pPr>
        <w:widowControl/>
        <w:jc w:val="center"/>
        <w:rPr>
          <w:b/>
          <w:sz w:val="44"/>
          <w:szCs w:val="44"/>
        </w:rPr>
      </w:pPr>
    </w:p>
    <w:p>
      <w:pPr>
        <w:widowControl/>
        <w:ind w:firstLine="1440" w:firstLineChars="300"/>
        <w:rPr>
          <w:rFonts w:ascii="宋体" w:hAnsi="宋体" w:eastAsia="宋体"/>
          <w:sz w:val="48"/>
          <w:szCs w:val="48"/>
        </w:rPr>
      </w:pPr>
    </w:p>
    <w:p>
      <w:pPr>
        <w:widowControl/>
        <w:jc w:val="center"/>
        <w:rPr>
          <w:rFonts w:hint="default" w:ascii="宋体" w:hAnsi="宋体" w:eastAsia="宋体"/>
          <w:sz w:val="48"/>
          <w:szCs w:val="48"/>
          <w:lang w:val="en-US" w:eastAsia="zh-CN"/>
        </w:rPr>
      </w:pPr>
      <w:r>
        <w:rPr>
          <w:rFonts w:hint="eastAsia" w:ascii="宋体" w:hAnsi="宋体" w:eastAsia="宋体"/>
          <w:sz w:val="48"/>
          <w:szCs w:val="48"/>
        </w:rPr>
        <w:t>财税与公共管理学院</w:t>
      </w:r>
      <w:r>
        <w:rPr>
          <w:rFonts w:hint="eastAsia" w:ascii="宋体" w:hAnsi="宋体"/>
          <w:sz w:val="48"/>
          <w:szCs w:val="48"/>
          <w:lang w:val="en-US" w:eastAsia="zh-CN"/>
        </w:rPr>
        <w:t>信毅系列</w:t>
      </w:r>
    </w:p>
    <w:p>
      <w:pPr>
        <w:widowControl/>
        <w:jc w:val="center"/>
        <w:rPr>
          <w:b/>
          <w:sz w:val="44"/>
          <w:szCs w:val="44"/>
        </w:rPr>
      </w:pPr>
    </w:p>
    <w:p>
      <w:pPr>
        <w:widowControl/>
        <w:jc w:val="center"/>
        <w:rPr>
          <w:rFonts w:hint="default" w:ascii="宋体" w:hAnsi="宋体" w:eastAsia="宋体"/>
          <w:sz w:val="72"/>
          <w:szCs w:val="72"/>
          <w:lang w:val="en-US" w:eastAsia="zh-CN"/>
        </w:rPr>
      </w:pPr>
      <w:r>
        <w:rPr>
          <w:rFonts w:hint="eastAsia" w:ascii="宋体" w:hAnsi="宋体"/>
          <w:sz w:val="72"/>
          <w:szCs w:val="72"/>
          <w:lang w:val="en-US" w:eastAsia="zh-CN"/>
        </w:rPr>
        <w:t>活</w:t>
      </w:r>
    </w:p>
    <w:p>
      <w:pPr>
        <w:widowControl/>
        <w:jc w:val="center"/>
        <w:rPr>
          <w:rFonts w:hint="default" w:ascii="宋体" w:hAnsi="宋体" w:eastAsia="宋体"/>
          <w:sz w:val="72"/>
          <w:szCs w:val="72"/>
          <w:lang w:val="en-US" w:eastAsia="zh-CN"/>
        </w:rPr>
      </w:pPr>
      <w:r>
        <w:rPr>
          <w:rFonts w:hint="eastAsia" w:ascii="宋体" w:hAnsi="宋体"/>
          <w:sz w:val="72"/>
          <w:szCs w:val="72"/>
          <w:lang w:val="en-US" w:eastAsia="zh-CN"/>
        </w:rPr>
        <w:t>动</w:t>
      </w:r>
    </w:p>
    <w:p>
      <w:pPr>
        <w:widowControl/>
        <w:jc w:val="center"/>
        <w:rPr>
          <w:rFonts w:hint="eastAsia" w:ascii="宋体" w:hAnsi="宋体"/>
          <w:sz w:val="72"/>
          <w:szCs w:val="72"/>
          <w:lang w:val="en-US" w:eastAsia="zh-CN"/>
        </w:rPr>
      </w:pPr>
      <w:r>
        <w:rPr>
          <w:rFonts w:hint="eastAsia" w:ascii="宋体" w:hAnsi="宋体"/>
          <w:sz w:val="72"/>
          <w:szCs w:val="72"/>
          <w:lang w:val="en-US" w:eastAsia="zh-CN"/>
        </w:rPr>
        <w:t>介</w:t>
      </w:r>
    </w:p>
    <w:p>
      <w:pPr>
        <w:widowControl/>
        <w:jc w:val="center"/>
        <w:rPr>
          <w:rFonts w:hint="default" w:ascii="宋体" w:hAnsi="宋体" w:eastAsia="宋体"/>
          <w:sz w:val="72"/>
          <w:szCs w:val="72"/>
          <w:lang w:val="en-US" w:eastAsia="zh-CN"/>
        </w:rPr>
      </w:pPr>
      <w:r>
        <w:rPr>
          <w:rFonts w:hint="eastAsia" w:ascii="宋体" w:hAnsi="宋体"/>
          <w:sz w:val="72"/>
          <w:szCs w:val="72"/>
          <w:lang w:val="en-US" w:eastAsia="zh-CN"/>
        </w:rPr>
        <w:t>绍</w:t>
      </w:r>
    </w:p>
    <w:p>
      <w:pPr>
        <w:widowControl/>
        <w:tabs>
          <w:tab w:val="center" w:pos="4153"/>
          <w:tab w:val="left" w:pos="7010"/>
        </w:tabs>
        <w:jc w:val="left"/>
        <w:rPr>
          <w:b/>
          <w:sz w:val="72"/>
          <w:szCs w:val="72"/>
        </w:rPr>
      </w:pPr>
    </w:p>
    <w:p>
      <w:pPr>
        <w:widowControl/>
        <w:tabs>
          <w:tab w:val="center" w:pos="4153"/>
          <w:tab w:val="left" w:pos="7010"/>
        </w:tabs>
        <w:ind w:right="1320" w:firstLine="880"/>
        <w:jc w:val="center"/>
        <w:rPr>
          <w:rFonts w:hint="eastAsia" w:ascii="宋体" w:hAnsi="宋体"/>
          <w:sz w:val="44"/>
          <w:szCs w:val="44"/>
        </w:rPr>
      </w:pPr>
      <w:r>
        <w:rPr>
          <w:rFonts w:hint="eastAsia" w:ascii="宋体" w:hAnsi="宋体"/>
          <w:sz w:val="44"/>
          <w:szCs w:val="44"/>
        </w:rPr>
        <w:t>财税与公共管理学院</w:t>
      </w:r>
    </w:p>
    <w:p>
      <w:pPr>
        <w:widowControl/>
        <w:tabs>
          <w:tab w:val="center" w:pos="4153"/>
          <w:tab w:val="left" w:pos="7010"/>
        </w:tabs>
        <w:ind w:right="1320" w:firstLine="880"/>
        <w:jc w:val="center"/>
        <w:rPr>
          <w:rFonts w:hint="eastAsia" w:ascii="宋体" w:hAnsi="宋体"/>
          <w:sz w:val="44"/>
          <w:szCs w:val="44"/>
          <w:lang w:val="en-US" w:eastAsia="zh-CN"/>
        </w:rPr>
      </w:pPr>
    </w:p>
    <w:p>
      <w:pPr>
        <w:widowControl/>
        <w:tabs>
          <w:tab w:val="center" w:pos="4153"/>
          <w:tab w:val="left" w:pos="7010"/>
        </w:tabs>
        <w:ind w:right="2640"/>
        <w:jc w:val="center"/>
        <w:rPr>
          <w:rFonts w:hint="eastAsia" w:ascii="宋体" w:hAnsi="宋体"/>
          <w:sz w:val="44"/>
          <w:szCs w:val="44"/>
        </w:rPr>
      </w:pPr>
      <w:r>
        <w:rPr>
          <w:rFonts w:hint="eastAsia" w:ascii="宋体" w:hAnsi="宋体"/>
          <w:sz w:val="44"/>
          <w:szCs w:val="44"/>
          <w:lang w:val="en-US" w:eastAsia="zh-CN"/>
        </w:rPr>
        <w:t xml:space="preserve">          </w:t>
      </w:r>
      <w:r>
        <w:rPr>
          <w:rFonts w:hint="eastAsia" w:ascii="宋体" w:hAnsi="宋体"/>
          <w:sz w:val="44"/>
          <w:szCs w:val="44"/>
        </w:rPr>
        <w:t>二〇二</w:t>
      </w:r>
      <w:r>
        <w:rPr>
          <w:rFonts w:hint="eastAsia" w:ascii="宋体" w:hAnsi="宋体"/>
          <w:sz w:val="44"/>
          <w:szCs w:val="44"/>
          <w:lang w:val="en-US" w:eastAsia="zh-CN"/>
        </w:rPr>
        <w:t>一</w:t>
      </w:r>
      <w:r>
        <w:rPr>
          <w:rFonts w:hint="eastAsia" w:ascii="宋体" w:hAnsi="宋体"/>
          <w:sz w:val="44"/>
          <w:szCs w:val="44"/>
        </w:rPr>
        <w:t>年</w:t>
      </w:r>
      <w:r>
        <w:rPr>
          <w:rFonts w:hint="eastAsia" w:ascii="宋体" w:hAnsi="宋体"/>
          <w:sz w:val="44"/>
          <w:szCs w:val="44"/>
          <w:lang w:val="en-US" w:eastAsia="zh-CN"/>
        </w:rPr>
        <w:t>四</w:t>
      </w:r>
      <w:r>
        <w:rPr>
          <w:rFonts w:hint="eastAsia" w:ascii="宋体" w:hAnsi="宋体"/>
          <w:sz w:val="44"/>
          <w:szCs w:val="44"/>
        </w:rPr>
        <w:t>月</w:t>
      </w:r>
    </w:p>
    <w:p>
      <w:pPr>
        <w:widowControl/>
        <w:tabs>
          <w:tab w:val="center" w:pos="4153"/>
          <w:tab w:val="left" w:pos="7010"/>
        </w:tabs>
        <w:ind w:right="2640"/>
        <w:jc w:val="center"/>
        <w:rPr>
          <w:rFonts w:hint="eastAsia" w:ascii="宋体" w:hAnsi="宋体"/>
          <w:sz w:val="44"/>
          <w:szCs w:val="44"/>
        </w:rPr>
      </w:pPr>
    </w:p>
    <w:p>
      <w:pPr>
        <w:numPr>
          <w:ilvl w:val="0"/>
          <w:numId w:val="1"/>
        </w:numPr>
        <w:rPr>
          <w:rFonts w:hint="eastAsia"/>
          <w:b/>
          <w:bCs/>
          <w:sz w:val="36"/>
          <w:szCs w:val="40"/>
          <w:lang w:val="en-US" w:eastAsia="zh-CN"/>
        </w:rPr>
      </w:pPr>
      <w:r>
        <w:rPr>
          <w:rFonts w:hint="eastAsia"/>
          <w:b/>
          <w:bCs/>
          <w:sz w:val="36"/>
          <w:szCs w:val="40"/>
          <w:lang w:val="en-US" w:eastAsia="zh-CN"/>
        </w:rPr>
        <w:t>信毅读书会</w:t>
      </w:r>
    </w:p>
    <w:p>
      <w:pPr>
        <w:pStyle w:val="4"/>
        <w:numPr>
          <w:ilvl w:val="0"/>
          <w:numId w:val="0"/>
        </w:numPr>
        <w:ind w:leftChars="0"/>
        <w:jc w:val="left"/>
        <w:rPr>
          <w:rFonts w:hint="eastAsia"/>
          <w:sz w:val="28"/>
          <w:szCs w:val="28"/>
          <w:lang w:val="en-US" w:eastAsia="zh-CN"/>
        </w:rPr>
      </w:pPr>
      <w:r>
        <w:rPr>
          <w:rFonts w:hint="eastAsia"/>
          <w:b/>
          <w:sz w:val="32"/>
          <w:szCs w:val="32"/>
          <w:lang w:eastAsia="zh-CN"/>
        </w:rPr>
        <w:t>（</w:t>
      </w:r>
      <w:r>
        <w:rPr>
          <w:rFonts w:hint="eastAsia"/>
          <w:b/>
          <w:sz w:val="32"/>
          <w:szCs w:val="32"/>
          <w:lang w:val="en-US" w:eastAsia="zh-CN"/>
        </w:rPr>
        <w:t>一</w:t>
      </w:r>
      <w:r>
        <w:rPr>
          <w:rFonts w:hint="eastAsia"/>
          <w:b/>
          <w:sz w:val="32"/>
          <w:szCs w:val="32"/>
          <w:lang w:eastAsia="zh-CN"/>
        </w:rPr>
        <w:t>）</w:t>
      </w:r>
      <w:r>
        <w:rPr>
          <w:rFonts w:hint="eastAsia"/>
          <w:b/>
          <w:sz w:val="32"/>
          <w:szCs w:val="32"/>
        </w:rPr>
        <w:t>活动</w:t>
      </w:r>
      <w:r>
        <w:rPr>
          <w:rFonts w:hint="eastAsia"/>
          <w:b/>
          <w:sz w:val="32"/>
          <w:szCs w:val="32"/>
          <w:lang w:val="en-US" w:eastAsia="zh-CN"/>
        </w:rPr>
        <w:t>形式</w:t>
      </w:r>
      <w:r>
        <w:rPr>
          <w:rFonts w:hint="eastAsia"/>
          <w:b/>
          <w:sz w:val="32"/>
          <w:szCs w:val="32"/>
        </w:rPr>
        <w:t>：</w:t>
      </w:r>
    </w:p>
    <w:p>
      <w:pPr>
        <w:pStyle w:val="4"/>
        <w:numPr>
          <w:ilvl w:val="0"/>
          <w:numId w:val="2"/>
        </w:numPr>
        <w:ind w:leftChars="0" w:firstLine="560" w:firstLineChars="200"/>
        <w:jc w:val="left"/>
        <w:rPr>
          <w:rFonts w:hint="eastAsia"/>
          <w:sz w:val="28"/>
          <w:szCs w:val="28"/>
          <w:lang w:val="en-US" w:eastAsia="zh-CN"/>
        </w:rPr>
      </w:pPr>
      <w:r>
        <w:rPr>
          <w:rFonts w:hint="eastAsia"/>
          <w:sz w:val="28"/>
          <w:szCs w:val="28"/>
          <w:lang w:val="en-US" w:eastAsia="zh-CN"/>
        </w:rPr>
        <w:t>读书报告汇报演讲</w:t>
      </w:r>
    </w:p>
    <w:p>
      <w:pPr>
        <w:pStyle w:val="4"/>
        <w:numPr>
          <w:ilvl w:val="0"/>
          <w:numId w:val="0"/>
        </w:numPr>
        <w:ind w:leftChars="200" w:firstLine="560" w:firstLineChars="200"/>
        <w:jc w:val="left"/>
        <w:rPr>
          <w:rFonts w:hint="eastAsia"/>
          <w:sz w:val="28"/>
          <w:szCs w:val="28"/>
          <w:lang w:val="en-US" w:eastAsia="zh-CN"/>
        </w:rPr>
      </w:pPr>
      <w:r>
        <w:rPr>
          <w:rFonts w:hint="eastAsia"/>
          <w:sz w:val="28"/>
          <w:szCs w:val="28"/>
          <w:lang w:val="en-US" w:eastAsia="zh-CN"/>
        </w:rPr>
        <w:t>每期活动由三到四名同学进行内容分享，每人时长在十五分钟左右。分享方式不限。</w:t>
      </w:r>
    </w:p>
    <w:p>
      <w:pPr>
        <w:pStyle w:val="4"/>
        <w:numPr>
          <w:ilvl w:val="0"/>
          <w:numId w:val="2"/>
        </w:numPr>
        <w:ind w:left="0" w:leftChars="0" w:firstLine="560" w:firstLineChars="200"/>
        <w:jc w:val="left"/>
        <w:rPr>
          <w:rFonts w:hint="default" w:eastAsia="宋体"/>
          <w:sz w:val="28"/>
          <w:szCs w:val="28"/>
          <w:lang w:val="en-US" w:eastAsia="zh-CN"/>
        </w:rPr>
      </w:pPr>
      <w:r>
        <w:rPr>
          <w:rFonts w:hint="eastAsia"/>
          <w:sz w:val="28"/>
          <w:szCs w:val="28"/>
          <w:lang w:val="en-US" w:eastAsia="zh-CN"/>
        </w:rPr>
        <w:t>公众号宣传推送</w:t>
      </w:r>
    </w:p>
    <w:p>
      <w:pPr>
        <w:pStyle w:val="4"/>
        <w:numPr>
          <w:ilvl w:val="0"/>
          <w:numId w:val="0"/>
        </w:numPr>
        <w:ind w:leftChars="200" w:firstLine="560" w:firstLineChars="200"/>
        <w:jc w:val="left"/>
        <w:rPr>
          <w:rFonts w:hint="default"/>
          <w:sz w:val="28"/>
          <w:szCs w:val="28"/>
          <w:lang w:val="en-US" w:eastAsia="zh-CN"/>
        </w:rPr>
      </w:pPr>
      <w:r>
        <w:rPr>
          <w:rFonts w:hint="eastAsia"/>
          <w:sz w:val="28"/>
          <w:szCs w:val="28"/>
          <w:lang w:val="en-US" w:eastAsia="zh-CN"/>
        </w:rPr>
        <w:t>活动后由各党支部宣传委员收集演讲稿及汇报材料，及时撰写宣传稿件并配好与主题相符图片，之后与研分会宣传部委员对接，由研分会宣传部在“信毅工作室”微信公众号上进行活动推送。</w:t>
      </w:r>
    </w:p>
    <w:p>
      <w:pPr>
        <w:pStyle w:val="4"/>
        <w:numPr>
          <w:ilvl w:val="0"/>
          <w:numId w:val="0"/>
        </w:numPr>
        <w:ind w:leftChars="0"/>
        <w:jc w:val="left"/>
        <w:rPr>
          <w:rFonts w:hint="default" w:eastAsia="宋体"/>
          <w:sz w:val="28"/>
          <w:szCs w:val="28"/>
          <w:lang w:val="en-US" w:eastAsia="zh-CN"/>
        </w:rPr>
      </w:pPr>
      <w:r>
        <w:rPr>
          <w:rFonts w:hint="eastAsia"/>
          <w:b/>
          <w:sz w:val="32"/>
          <w:szCs w:val="32"/>
          <w:lang w:val="en-US" w:eastAsia="zh-CN"/>
        </w:rPr>
        <w:t>（二）活动要求：</w:t>
      </w:r>
    </w:p>
    <w:p>
      <w:pPr>
        <w:pStyle w:val="4"/>
        <w:numPr>
          <w:ilvl w:val="0"/>
          <w:numId w:val="0"/>
        </w:numPr>
        <w:ind w:leftChars="200"/>
        <w:jc w:val="left"/>
        <w:rPr>
          <w:rFonts w:hint="default" w:eastAsia="宋体"/>
          <w:b w:val="0"/>
          <w:bCs w:val="0"/>
          <w:sz w:val="28"/>
          <w:szCs w:val="28"/>
          <w:lang w:val="en-US" w:eastAsia="zh-CN"/>
        </w:rPr>
      </w:pPr>
      <w:r>
        <w:rPr>
          <w:rFonts w:hint="eastAsia"/>
          <w:b w:val="0"/>
          <w:bCs w:val="0"/>
          <w:sz w:val="28"/>
          <w:szCs w:val="28"/>
          <w:lang w:val="en-US" w:eastAsia="zh-CN"/>
        </w:rPr>
        <w:t>1、读书范围：</w:t>
      </w:r>
    </w:p>
    <w:p>
      <w:pPr>
        <w:pStyle w:val="4"/>
        <w:numPr>
          <w:ilvl w:val="0"/>
          <w:numId w:val="3"/>
        </w:numPr>
        <w:ind w:left="0" w:leftChars="0" w:firstLine="560" w:firstLineChars="200"/>
        <w:jc w:val="left"/>
        <w:rPr>
          <w:rFonts w:hint="default" w:eastAsia="宋体"/>
          <w:b w:val="0"/>
          <w:bCs w:val="0"/>
          <w:sz w:val="28"/>
          <w:szCs w:val="28"/>
          <w:lang w:val="en-US" w:eastAsia="zh-CN"/>
        </w:rPr>
      </w:pPr>
      <w:r>
        <w:rPr>
          <w:rFonts w:hint="eastAsia"/>
          <w:b w:val="0"/>
          <w:bCs w:val="0"/>
          <w:sz w:val="28"/>
          <w:szCs w:val="28"/>
          <w:lang w:val="en-US" w:eastAsia="zh-CN"/>
        </w:rPr>
        <w:t>中共党史相关书籍</w:t>
      </w:r>
    </w:p>
    <w:p>
      <w:pPr>
        <w:pStyle w:val="4"/>
        <w:numPr>
          <w:ilvl w:val="0"/>
          <w:numId w:val="3"/>
        </w:numPr>
        <w:ind w:left="0" w:leftChars="0" w:firstLine="560" w:firstLineChars="200"/>
        <w:jc w:val="left"/>
        <w:rPr>
          <w:rFonts w:hint="default"/>
          <w:b/>
          <w:bCs/>
          <w:sz w:val="36"/>
          <w:szCs w:val="40"/>
          <w:lang w:val="en-US" w:eastAsia="zh-CN"/>
        </w:rPr>
      </w:pPr>
      <w:r>
        <w:rPr>
          <w:rFonts w:hint="eastAsia"/>
          <w:b w:val="0"/>
          <w:bCs w:val="0"/>
          <w:sz w:val="28"/>
          <w:szCs w:val="28"/>
          <w:lang w:val="en-US" w:eastAsia="zh-CN"/>
        </w:rPr>
        <w:t>专业相关经典书籍</w:t>
      </w:r>
    </w:p>
    <w:p>
      <w:pPr>
        <w:pStyle w:val="4"/>
        <w:numPr>
          <w:ilvl w:val="0"/>
          <w:numId w:val="3"/>
        </w:numPr>
        <w:ind w:left="0" w:leftChars="0" w:firstLine="560" w:firstLineChars="200"/>
        <w:jc w:val="left"/>
        <w:rPr>
          <w:rFonts w:hint="eastAsia"/>
          <w:b w:val="0"/>
          <w:bCs w:val="0"/>
          <w:sz w:val="28"/>
          <w:szCs w:val="28"/>
          <w:lang w:val="en-US" w:eastAsia="zh-CN"/>
        </w:rPr>
      </w:pPr>
      <w:r>
        <w:rPr>
          <w:rFonts w:hint="eastAsia"/>
          <w:b w:val="0"/>
          <w:bCs w:val="0"/>
          <w:sz w:val="28"/>
          <w:szCs w:val="28"/>
          <w:lang w:val="en-US" w:eastAsia="zh-CN"/>
        </w:rPr>
        <w:t>其他经典名著</w:t>
      </w:r>
    </w:p>
    <w:p>
      <w:pPr>
        <w:pStyle w:val="4"/>
        <w:numPr>
          <w:ilvl w:val="0"/>
          <w:numId w:val="0"/>
        </w:numPr>
        <w:ind w:leftChars="200"/>
        <w:jc w:val="left"/>
        <w:rPr>
          <w:rFonts w:hint="eastAsia"/>
          <w:b w:val="0"/>
          <w:bCs w:val="0"/>
          <w:sz w:val="28"/>
          <w:szCs w:val="28"/>
          <w:lang w:val="en-US" w:eastAsia="zh-CN"/>
        </w:rPr>
      </w:pPr>
      <w:r>
        <w:rPr>
          <w:rFonts w:hint="eastAsia"/>
          <w:b w:val="0"/>
          <w:bCs w:val="0"/>
          <w:sz w:val="28"/>
          <w:szCs w:val="28"/>
          <w:lang w:val="en-US" w:eastAsia="zh-CN"/>
        </w:rPr>
        <w:t>2、参考书目（见附件四）</w:t>
      </w:r>
    </w:p>
    <w:p>
      <w:pPr>
        <w:pStyle w:val="4"/>
        <w:numPr>
          <w:ilvl w:val="0"/>
          <w:numId w:val="0"/>
        </w:numPr>
        <w:jc w:val="left"/>
        <w:rPr>
          <w:rFonts w:hint="eastAsia"/>
          <w:b w:val="0"/>
          <w:bCs w:val="0"/>
          <w:sz w:val="28"/>
          <w:szCs w:val="28"/>
          <w:lang w:val="en-US" w:eastAsia="zh-CN"/>
        </w:rPr>
      </w:pPr>
    </w:p>
    <w:p>
      <w:pPr>
        <w:pStyle w:val="4"/>
        <w:numPr>
          <w:ilvl w:val="0"/>
          <w:numId w:val="0"/>
        </w:numPr>
        <w:jc w:val="left"/>
        <w:rPr>
          <w:rFonts w:hint="eastAsia"/>
          <w:b w:val="0"/>
          <w:bCs w:val="0"/>
          <w:sz w:val="28"/>
          <w:szCs w:val="28"/>
          <w:lang w:val="en-US" w:eastAsia="zh-CN"/>
        </w:rPr>
      </w:pPr>
    </w:p>
    <w:p>
      <w:pPr>
        <w:pStyle w:val="4"/>
        <w:numPr>
          <w:ilvl w:val="0"/>
          <w:numId w:val="0"/>
        </w:numPr>
        <w:jc w:val="left"/>
        <w:rPr>
          <w:rFonts w:hint="eastAsia"/>
          <w:b w:val="0"/>
          <w:bCs w:val="0"/>
          <w:sz w:val="28"/>
          <w:szCs w:val="28"/>
          <w:lang w:val="en-US" w:eastAsia="zh-CN"/>
        </w:rPr>
      </w:pPr>
    </w:p>
    <w:p>
      <w:pPr>
        <w:pStyle w:val="4"/>
        <w:numPr>
          <w:ilvl w:val="0"/>
          <w:numId w:val="0"/>
        </w:numPr>
        <w:jc w:val="left"/>
        <w:rPr>
          <w:rFonts w:hint="eastAsia"/>
          <w:b w:val="0"/>
          <w:bCs w:val="0"/>
          <w:sz w:val="28"/>
          <w:szCs w:val="28"/>
          <w:lang w:val="en-US" w:eastAsia="zh-CN"/>
        </w:rPr>
      </w:pPr>
    </w:p>
    <w:p>
      <w:pPr>
        <w:pStyle w:val="4"/>
        <w:numPr>
          <w:ilvl w:val="0"/>
          <w:numId w:val="0"/>
        </w:numPr>
        <w:jc w:val="left"/>
        <w:rPr>
          <w:rFonts w:hint="eastAsia"/>
          <w:b w:val="0"/>
          <w:bCs w:val="0"/>
          <w:sz w:val="28"/>
          <w:szCs w:val="28"/>
          <w:lang w:val="en-US" w:eastAsia="zh-CN"/>
        </w:rPr>
      </w:pPr>
    </w:p>
    <w:p>
      <w:pPr>
        <w:pStyle w:val="4"/>
        <w:numPr>
          <w:ilvl w:val="0"/>
          <w:numId w:val="0"/>
        </w:numPr>
        <w:jc w:val="left"/>
        <w:rPr>
          <w:rFonts w:hint="eastAsia"/>
          <w:b w:val="0"/>
          <w:bCs w:val="0"/>
          <w:sz w:val="28"/>
          <w:szCs w:val="28"/>
          <w:lang w:val="en-US" w:eastAsia="zh-CN"/>
        </w:rPr>
      </w:pPr>
    </w:p>
    <w:p>
      <w:pPr>
        <w:numPr>
          <w:ilvl w:val="0"/>
          <w:numId w:val="1"/>
        </w:numPr>
        <w:rPr>
          <w:rFonts w:hint="default"/>
          <w:b/>
          <w:bCs/>
          <w:sz w:val="36"/>
          <w:szCs w:val="40"/>
          <w:lang w:val="en-US" w:eastAsia="zh-CN"/>
        </w:rPr>
      </w:pPr>
      <w:r>
        <w:rPr>
          <w:rFonts w:hint="eastAsia"/>
          <w:b/>
          <w:bCs/>
          <w:sz w:val="36"/>
          <w:szCs w:val="40"/>
          <w:lang w:val="en-US" w:eastAsia="zh-CN"/>
        </w:rPr>
        <w:t>信毅半月谈</w:t>
      </w:r>
    </w:p>
    <w:p>
      <w:pPr>
        <w:pStyle w:val="4"/>
        <w:numPr>
          <w:ilvl w:val="0"/>
          <w:numId w:val="0"/>
        </w:numPr>
        <w:ind w:leftChars="0"/>
        <w:jc w:val="left"/>
        <w:rPr>
          <w:rFonts w:hint="eastAsia"/>
          <w:sz w:val="28"/>
          <w:szCs w:val="28"/>
          <w:lang w:val="en-US" w:eastAsia="zh-CN"/>
        </w:rPr>
      </w:pPr>
      <w:r>
        <w:rPr>
          <w:rFonts w:hint="eastAsia"/>
          <w:b/>
          <w:sz w:val="32"/>
          <w:szCs w:val="32"/>
          <w:lang w:eastAsia="zh-CN"/>
        </w:rPr>
        <w:t>（</w:t>
      </w:r>
      <w:r>
        <w:rPr>
          <w:rFonts w:hint="eastAsia"/>
          <w:b/>
          <w:sz w:val="32"/>
          <w:szCs w:val="32"/>
          <w:lang w:val="en-US" w:eastAsia="zh-CN"/>
        </w:rPr>
        <w:t>一</w:t>
      </w:r>
      <w:r>
        <w:rPr>
          <w:rFonts w:hint="eastAsia"/>
          <w:b/>
          <w:sz w:val="32"/>
          <w:szCs w:val="32"/>
          <w:lang w:eastAsia="zh-CN"/>
        </w:rPr>
        <w:t>）</w:t>
      </w:r>
      <w:r>
        <w:rPr>
          <w:rFonts w:hint="eastAsia"/>
          <w:b/>
          <w:sz w:val="32"/>
          <w:szCs w:val="32"/>
        </w:rPr>
        <w:t>活动</w:t>
      </w:r>
      <w:r>
        <w:rPr>
          <w:rFonts w:hint="eastAsia"/>
          <w:b/>
          <w:sz w:val="32"/>
          <w:szCs w:val="32"/>
          <w:lang w:val="en-US" w:eastAsia="zh-CN"/>
        </w:rPr>
        <w:t>形式</w:t>
      </w:r>
      <w:r>
        <w:rPr>
          <w:rFonts w:hint="eastAsia"/>
          <w:b/>
          <w:sz w:val="32"/>
          <w:szCs w:val="32"/>
        </w:rPr>
        <w:t>：</w:t>
      </w:r>
    </w:p>
    <w:p>
      <w:pPr>
        <w:pStyle w:val="4"/>
        <w:numPr>
          <w:ilvl w:val="0"/>
          <w:numId w:val="4"/>
        </w:numPr>
        <w:ind w:leftChars="0"/>
        <w:jc w:val="left"/>
        <w:rPr>
          <w:rFonts w:hint="default" w:eastAsia="宋体"/>
          <w:sz w:val="28"/>
          <w:szCs w:val="28"/>
          <w:lang w:val="en-US" w:eastAsia="zh-CN"/>
        </w:rPr>
      </w:pPr>
      <w:r>
        <w:rPr>
          <w:rFonts w:hint="eastAsia"/>
          <w:sz w:val="28"/>
          <w:szCs w:val="28"/>
          <w:lang w:val="en-US" w:eastAsia="zh-CN"/>
        </w:rPr>
        <w:t>个人演讲展示</w:t>
      </w:r>
    </w:p>
    <w:p>
      <w:pPr>
        <w:pStyle w:val="4"/>
        <w:numPr>
          <w:ilvl w:val="0"/>
          <w:numId w:val="0"/>
        </w:numPr>
        <w:ind w:leftChars="200"/>
        <w:jc w:val="left"/>
        <w:rPr>
          <w:rFonts w:hint="default" w:eastAsia="宋体"/>
          <w:sz w:val="28"/>
          <w:szCs w:val="28"/>
          <w:lang w:val="en-US" w:eastAsia="zh-CN"/>
        </w:rPr>
      </w:pPr>
      <w:r>
        <w:rPr>
          <w:rFonts w:hint="eastAsia"/>
          <w:sz w:val="28"/>
          <w:szCs w:val="28"/>
          <w:lang w:val="en-US" w:eastAsia="zh-CN"/>
        </w:rPr>
        <w:t xml:space="preserve">  以当前国际国内时政热点难点、大学生关心焦点及专业前沿论点等主题作为演讲内容在活动上进行展示，展示方式不限，每人时长控制在十分钟左右（展示包括主题介绍及个人看法，展示后嘉宾点评、观众提问）。</w:t>
      </w:r>
    </w:p>
    <w:p>
      <w:pPr>
        <w:pStyle w:val="4"/>
        <w:numPr>
          <w:ilvl w:val="0"/>
          <w:numId w:val="4"/>
        </w:numPr>
        <w:ind w:leftChars="0"/>
        <w:jc w:val="left"/>
        <w:rPr>
          <w:rFonts w:hint="default" w:eastAsia="宋体"/>
          <w:sz w:val="28"/>
          <w:szCs w:val="28"/>
          <w:lang w:val="en-US" w:eastAsia="zh-CN"/>
        </w:rPr>
      </w:pPr>
      <w:r>
        <w:rPr>
          <w:rFonts w:hint="eastAsia"/>
          <w:sz w:val="28"/>
          <w:szCs w:val="28"/>
          <w:lang w:val="en-US" w:eastAsia="zh-CN"/>
        </w:rPr>
        <w:t>公众号宣传推送</w:t>
      </w:r>
    </w:p>
    <w:p>
      <w:pPr>
        <w:pStyle w:val="4"/>
        <w:numPr>
          <w:ilvl w:val="0"/>
          <w:numId w:val="0"/>
        </w:numPr>
        <w:ind w:leftChars="200"/>
        <w:jc w:val="left"/>
        <w:rPr>
          <w:rFonts w:hint="default" w:eastAsia="宋体"/>
          <w:sz w:val="28"/>
          <w:szCs w:val="28"/>
          <w:lang w:val="en-US" w:eastAsia="zh-CN"/>
        </w:rPr>
      </w:pPr>
      <w:r>
        <w:rPr>
          <w:rFonts w:hint="eastAsia"/>
          <w:sz w:val="28"/>
          <w:szCs w:val="28"/>
          <w:lang w:val="en-US" w:eastAsia="zh-CN"/>
        </w:rPr>
        <w:t xml:space="preserve">  各党支部宣传委员负责收集当期演讲稿及相关材料，及时撰写宣传稿件并配好与主题相符图片，之后与研分会宣传部委员对接，由研分会宣传部在“信毅工作室”微信公众号上进行活动推送。</w:t>
      </w:r>
    </w:p>
    <w:p>
      <w:pPr>
        <w:pStyle w:val="4"/>
        <w:numPr>
          <w:ilvl w:val="0"/>
          <w:numId w:val="4"/>
        </w:numPr>
        <w:ind w:leftChars="0"/>
        <w:jc w:val="left"/>
        <w:rPr>
          <w:rFonts w:hint="default" w:eastAsia="宋体"/>
          <w:sz w:val="28"/>
          <w:szCs w:val="28"/>
          <w:lang w:val="en-US" w:eastAsia="zh-CN"/>
        </w:rPr>
      </w:pPr>
      <w:r>
        <w:rPr>
          <w:rFonts w:hint="eastAsia"/>
          <w:sz w:val="28"/>
          <w:szCs w:val="28"/>
          <w:lang w:val="en-US" w:eastAsia="zh-CN"/>
        </w:rPr>
        <w:t>报刊刊登</w:t>
      </w:r>
    </w:p>
    <w:p>
      <w:pPr>
        <w:pStyle w:val="4"/>
        <w:numPr>
          <w:ilvl w:val="0"/>
          <w:numId w:val="0"/>
        </w:numPr>
        <w:ind w:leftChars="200"/>
        <w:jc w:val="left"/>
        <w:rPr>
          <w:rFonts w:hint="default"/>
          <w:sz w:val="28"/>
          <w:szCs w:val="28"/>
          <w:lang w:val="en-US" w:eastAsia="zh-CN"/>
        </w:rPr>
      </w:pPr>
      <w:r>
        <w:rPr>
          <w:rFonts w:hint="eastAsia"/>
          <w:sz w:val="28"/>
          <w:szCs w:val="28"/>
          <w:lang w:val="en-US" w:eastAsia="zh-CN"/>
        </w:rPr>
        <w:t xml:space="preserve">  每月月底由负责人收集汇总当月两期“信毅半月谈”交流主题，并进行整理排版、报纸刊发相关工作（《信毅半月谈》（月刊））。</w:t>
      </w:r>
    </w:p>
    <w:p>
      <w:pPr>
        <w:pStyle w:val="4"/>
        <w:numPr>
          <w:ilvl w:val="0"/>
          <w:numId w:val="0"/>
        </w:numPr>
        <w:ind w:leftChars="0"/>
        <w:jc w:val="left"/>
        <w:rPr>
          <w:rFonts w:hint="eastAsia"/>
          <w:b/>
          <w:sz w:val="28"/>
          <w:szCs w:val="28"/>
        </w:rPr>
      </w:pPr>
      <w:r>
        <w:rPr>
          <w:rFonts w:hint="eastAsia"/>
          <w:b/>
          <w:sz w:val="32"/>
          <w:szCs w:val="32"/>
          <w:lang w:val="en-US" w:eastAsia="zh-CN"/>
        </w:rPr>
        <w:t>（二）活动奖励</w:t>
      </w:r>
      <w:r>
        <w:rPr>
          <w:rFonts w:hint="eastAsia"/>
          <w:b/>
          <w:sz w:val="32"/>
          <w:szCs w:val="32"/>
        </w:rPr>
        <w:t>：</w:t>
      </w:r>
      <w:r>
        <w:rPr>
          <w:b/>
          <w:sz w:val="28"/>
          <w:szCs w:val="28"/>
        </w:rPr>
        <w:t xml:space="preserve"> </w:t>
      </w:r>
    </w:p>
    <w:p>
      <w:pPr>
        <w:pStyle w:val="4"/>
        <w:numPr>
          <w:ilvl w:val="0"/>
          <w:numId w:val="0"/>
        </w:numPr>
        <w:ind w:leftChars="0"/>
        <w:jc w:val="left"/>
        <w:rPr>
          <w:rFonts w:hint="default"/>
          <w:b w:val="0"/>
          <w:bCs/>
          <w:i w:val="0"/>
          <w:iCs w:val="0"/>
          <w:sz w:val="28"/>
          <w:szCs w:val="28"/>
          <w:lang w:val="en-US" w:eastAsia="zh-CN"/>
        </w:rPr>
      </w:pPr>
      <w:r>
        <w:rPr>
          <w:rFonts w:hint="eastAsia"/>
          <w:b/>
          <w:sz w:val="28"/>
          <w:szCs w:val="28"/>
          <w:lang w:val="en-US" w:eastAsia="zh-CN"/>
        </w:rPr>
        <w:t xml:space="preserve">    </w:t>
      </w:r>
      <w:r>
        <w:rPr>
          <w:rFonts w:hint="eastAsia"/>
          <w:b w:val="0"/>
          <w:bCs/>
          <w:i w:val="0"/>
          <w:iCs w:val="0"/>
          <w:sz w:val="28"/>
          <w:szCs w:val="28"/>
          <w:lang w:val="en-US" w:eastAsia="zh-CN"/>
        </w:rPr>
        <w:t>每学期期末评选三名“信毅半月谈”最佳“谈”手，颁发证书及相关奖励等。“</w:t>
      </w:r>
      <w:bookmarkStart w:id="0" w:name="_GoBack"/>
      <w:r>
        <w:rPr>
          <w:rFonts w:hint="eastAsia"/>
          <w:b w:val="0"/>
          <w:bCs/>
          <w:i w:val="0"/>
          <w:iCs w:val="0"/>
          <w:sz w:val="28"/>
          <w:szCs w:val="28"/>
          <w:lang w:val="en-US" w:eastAsia="zh-CN"/>
        </w:rPr>
        <w:t>信</w:t>
      </w:r>
      <w:bookmarkEnd w:id="0"/>
      <w:r>
        <w:rPr>
          <w:rFonts w:hint="eastAsia"/>
          <w:b w:val="0"/>
          <w:bCs/>
          <w:i w:val="0"/>
          <w:iCs w:val="0"/>
          <w:sz w:val="28"/>
          <w:szCs w:val="28"/>
          <w:lang w:val="en-US" w:eastAsia="zh-CN"/>
        </w:rPr>
        <w:t>毅半月谈”活动的参与情况将纳入党员民主评议的考核依据当中，参与人员可在后期奖学金评定及评优评先中获得优先资格。</w:t>
      </w:r>
    </w:p>
    <w:p>
      <w:pPr>
        <w:pStyle w:val="4"/>
        <w:numPr>
          <w:ilvl w:val="0"/>
          <w:numId w:val="0"/>
        </w:numPr>
        <w:ind w:leftChars="200"/>
        <w:jc w:val="left"/>
        <w:rPr>
          <w:rFonts w:hint="default"/>
          <w:b/>
          <w:bCs/>
          <w:sz w:val="36"/>
          <w:szCs w:val="40"/>
          <w:lang w:val="en-US" w:eastAsia="zh-CN"/>
        </w:rPr>
      </w:pPr>
    </w:p>
    <w:p>
      <w:pPr>
        <w:jc w:val="both"/>
        <w:rPr>
          <w:rFonts w:hint="eastAsia" w:ascii="仿宋" w:hAnsi="仿宋" w:eastAsia="仿宋" w:cs="仿宋"/>
          <w:i w:val="0"/>
          <w:caps w:val="0"/>
          <w:color w:val="222222"/>
          <w:spacing w:val="0"/>
          <w:kern w:val="0"/>
          <w:sz w:val="32"/>
          <w:szCs w:val="32"/>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82F4"/>
    <w:multiLevelType w:val="singleLevel"/>
    <w:tmpl w:val="046682F4"/>
    <w:lvl w:ilvl="0" w:tentative="0">
      <w:start w:val="1"/>
      <w:numFmt w:val="decimal"/>
      <w:suff w:val="space"/>
      <w:lvlText w:val="%1."/>
      <w:lvlJc w:val="left"/>
    </w:lvl>
  </w:abstractNum>
  <w:abstractNum w:abstractNumId="1">
    <w:nsid w:val="4461AC32"/>
    <w:multiLevelType w:val="singleLevel"/>
    <w:tmpl w:val="4461AC32"/>
    <w:lvl w:ilvl="0" w:tentative="0">
      <w:start w:val="1"/>
      <w:numFmt w:val="decimalEnclosedCircleChinese"/>
      <w:suff w:val="nothing"/>
      <w:lvlText w:val="%1　"/>
      <w:lvlJc w:val="left"/>
      <w:pPr>
        <w:ind w:left="0" w:firstLine="400"/>
      </w:pPr>
      <w:rPr>
        <w:rFonts w:hint="eastAsia"/>
      </w:rPr>
    </w:lvl>
  </w:abstractNum>
  <w:abstractNum w:abstractNumId="2">
    <w:nsid w:val="4DE2E8BE"/>
    <w:multiLevelType w:val="singleLevel"/>
    <w:tmpl w:val="4DE2E8BE"/>
    <w:lvl w:ilvl="0" w:tentative="0">
      <w:start w:val="1"/>
      <w:numFmt w:val="chineseCounting"/>
      <w:suff w:val="nothing"/>
      <w:lvlText w:val="%1、"/>
      <w:lvlJc w:val="left"/>
      <w:rPr>
        <w:rFonts w:hint="eastAsia"/>
      </w:rPr>
    </w:lvl>
  </w:abstractNum>
  <w:abstractNum w:abstractNumId="3">
    <w:nsid w:val="5F2FC8AE"/>
    <w:multiLevelType w:val="singleLevel"/>
    <w:tmpl w:val="5F2FC8AE"/>
    <w:lvl w:ilvl="0" w:tentative="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93E83"/>
    <w:rsid w:val="6C693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2021-04-27T01:46:00Z</dcterms:created>
  <dc:creator>昭纬</dc:creator>
  <cp:lastModifiedBy>昭纬</cp:lastModifiedBy>
  <dcterms:modified xsi:type="dcterms:W3CDTF">2021-04-27T01:47:28Z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