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024" w:rsidRPr="000E4024" w:rsidRDefault="000E4024" w:rsidP="000E4024">
      <w:pPr>
        <w:widowControl/>
        <w:spacing w:line="440" w:lineRule="atLeast"/>
        <w:ind w:firstLine="482"/>
        <w:jc w:val="center"/>
        <w:rPr>
          <w:rFonts w:ascii="楷体" w:eastAsia="楷体" w:hAnsi="楷体" w:cs="Times New Roman"/>
          <w:b/>
          <w:color w:val="000000"/>
          <w:kern w:val="0"/>
          <w:sz w:val="30"/>
          <w:szCs w:val="30"/>
        </w:rPr>
      </w:pPr>
      <w:r w:rsidRPr="000E4024">
        <w:rPr>
          <w:rFonts w:ascii="楷体" w:eastAsia="楷体" w:hAnsi="楷体" w:cs="Times New Roman" w:hint="eastAsia"/>
          <w:b/>
          <w:color w:val="000000"/>
          <w:kern w:val="0"/>
          <w:sz w:val="30"/>
          <w:szCs w:val="30"/>
        </w:rPr>
        <w:t>泰国东方皇家理工大学PHD管理哲学博士招生简章</w:t>
      </w:r>
    </w:p>
    <w:p w:rsidR="000E4024" w:rsidRDefault="000E4024" w:rsidP="000E4024">
      <w:pPr>
        <w:widowControl/>
        <w:spacing w:line="440" w:lineRule="atLeast"/>
        <w:ind w:firstLine="482"/>
        <w:jc w:val="center"/>
        <w:rPr>
          <w:rFonts w:ascii="楷体" w:eastAsia="楷体" w:hAnsi="楷体" w:cs="Times New Roman"/>
          <w:color w:val="000000"/>
          <w:kern w:val="0"/>
          <w:sz w:val="28"/>
          <w:szCs w:val="28"/>
        </w:rPr>
      </w:pPr>
    </w:p>
    <w:p w:rsidR="00B750DA" w:rsidRPr="00B750DA" w:rsidRDefault="00B750DA" w:rsidP="00B750DA">
      <w:pPr>
        <w:widowControl/>
        <w:spacing w:before="312" w:after="156" w:line="440" w:lineRule="atLeast"/>
        <w:ind w:firstLine="360"/>
        <w:outlineLvl w:val="2"/>
        <w:rPr>
          <w:rFonts w:ascii="楷体" w:eastAsia="楷体" w:hAnsi="楷体" w:cs="Times New Roman"/>
          <w:color w:val="000000"/>
          <w:kern w:val="0"/>
        </w:rPr>
      </w:pPr>
      <w:bookmarkStart w:id="0" w:name="_Hlk36725003"/>
      <w:bookmarkEnd w:id="0"/>
      <w:r w:rsidRPr="00B750DA">
        <w:rPr>
          <w:rFonts w:ascii="楷体" w:eastAsia="楷体" w:hAnsi="楷体" w:cs="Times New Roman"/>
          <w:color w:val="000000"/>
          <w:kern w:val="0"/>
        </w:rPr>
        <w:t>泰国东方皇家理工大学坐落在首都泰国曼谷，是全泰国最尊崇的公立大学之一。学校创建于1903年，隶属于泰王国高等教育部管辖。泰国东方皇家理工大学是一所隶属于泰国教育部管辖的公立综合性大学，拥有</w:t>
      </w:r>
      <w:proofErr w:type="spellStart"/>
      <w:r w:rsidRPr="00B750DA">
        <w:rPr>
          <w:rFonts w:ascii="楷体" w:eastAsia="楷体" w:hAnsi="楷体" w:cs="Times New Roman"/>
          <w:color w:val="000000"/>
          <w:kern w:val="0"/>
        </w:rPr>
        <w:t>Chakrabongse</w:t>
      </w:r>
      <w:proofErr w:type="spellEnd"/>
      <w:r w:rsidRPr="00B750DA">
        <w:rPr>
          <w:rFonts w:ascii="楷体" w:eastAsia="楷体" w:hAnsi="楷体" w:cs="Times New Roman"/>
          <w:color w:val="000000"/>
          <w:kern w:val="0"/>
        </w:rPr>
        <w:t xml:space="preserve"> </w:t>
      </w:r>
      <w:proofErr w:type="spellStart"/>
      <w:r w:rsidRPr="00B750DA">
        <w:rPr>
          <w:rFonts w:ascii="楷体" w:eastAsia="楷体" w:hAnsi="楷体" w:cs="Times New Roman"/>
          <w:color w:val="000000"/>
          <w:kern w:val="0"/>
        </w:rPr>
        <w:t>Bhuvanarth</w:t>
      </w:r>
      <w:proofErr w:type="spellEnd"/>
      <w:r w:rsidRPr="00B750DA">
        <w:rPr>
          <w:rFonts w:ascii="楷体" w:eastAsia="楷体" w:hAnsi="楷体" w:cs="Times New Roman"/>
          <w:color w:val="000000"/>
          <w:kern w:val="0"/>
        </w:rPr>
        <w:t>曼谷商业中心校区、</w:t>
      </w:r>
      <w:proofErr w:type="spellStart"/>
      <w:r w:rsidRPr="00B750DA">
        <w:rPr>
          <w:rFonts w:ascii="楷体" w:eastAsia="楷体" w:hAnsi="楷体" w:cs="Times New Roman"/>
          <w:color w:val="000000"/>
          <w:kern w:val="0"/>
        </w:rPr>
        <w:t>Uthen</w:t>
      </w:r>
      <w:proofErr w:type="spellEnd"/>
      <w:r w:rsidRPr="00B750DA">
        <w:rPr>
          <w:rFonts w:ascii="楷体" w:eastAsia="楷体" w:hAnsi="楷体" w:cs="Times New Roman"/>
          <w:color w:val="000000"/>
          <w:kern w:val="0"/>
        </w:rPr>
        <w:t xml:space="preserve"> </w:t>
      </w:r>
      <w:proofErr w:type="spellStart"/>
      <w:r w:rsidRPr="00B750DA">
        <w:rPr>
          <w:rFonts w:ascii="楷体" w:eastAsia="楷体" w:hAnsi="楷体" w:cs="Times New Roman"/>
          <w:color w:val="000000"/>
          <w:kern w:val="0"/>
        </w:rPr>
        <w:t>Thawai</w:t>
      </w:r>
      <w:proofErr w:type="spellEnd"/>
      <w:r w:rsidRPr="00B750DA">
        <w:rPr>
          <w:rFonts w:ascii="楷体" w:eastAsia="楷体" w:hAnsi="楷体" w:cs="Times New Roman"/>
          <w:color w:val="000000"/>
          <w:kern w:val="0"/>
        </w:rPr>
        <w:t xml:space="preserve">校区、Bang </w:t>
      </w:r>
      <w:proofErr w:type="spellStart"/>
      <w:r w:rsidRPr="00B750DA">
        <w:rPr>
          <w:rFonts w:ascii="楷体" w:eastAsia="楷体" w:hAnsi="楷体" w:cs="Times New Roman"/>
          <w:color w:val="000000"/>
          <w:kern w:val="0"/>
        </w:rPr>
        <w:t>Phra</w:t>
      </w:r>
      <w:proofErr w:type="spellEnd"/>
      <w:r w:rsidRPr="00B750DA">
        <w:rPr>
          <w:rFonts w:ascii="楷体" w:eastAsia="楷体" w:hAnsi="楷体" w:cs="Times New Roman"/>
          <w:color w:val="000000"/>
          <w:kern w:val="0"/>
        </w:rPr>
        <w:t>总校区和</w:t>
      </w:r>
      <w:proofErr w:type="spellStart"/>
      <w:r w:rsidRPr="00B750DA">
        <w:rPr>
          <w:rFonts w:ascii="楷体" w:eastAsia="楷体" w:hAnsi="楷体" w:cs="Times New Roman"/>
          <w:color w:val="000000"/>
          <w:kern w:val="0"/>
        </w:rPr>
        <w:t>Chanthaburi</w:t>
      </w:r>
      <w:proofErr w:type="spellEnd"/>
      <w:r w:rsidRPr="00B750DA">
        <w:rPr>
          <w:rFonts w:ascii="楷体" w:eastAsia="楷体" w:hAnsi="楷体" w:cs="Times New Roman"/>
          <w:color w:val="000000"/>
          <w:kern w:val="0"/>
        </w:rPr>
        <w:t>校区四个校区。</w:t>
      </w:r>
    </w:p>
    <w:p w:rsidR="00B750DA" w:rsidRDefault="00B750DA" w:rsidP="00B750DA">
      <w:pPr>
        <w:widowControl/>
        <w:spacing w:before="312" w:after="156" w:line="440" w:lineRule="atLeast"/>
        <w:ind w:firstLine="360"/>
        <w:outlineLvl w:val="2"/>
        <w:rPr>
          <w:rFonts w:ascii="楷体" w:eastAsia="楷体" w:hAnsi="楷体" w:cs="Times New Roman"/>
          <w:color w:val="000000"/>
          <w:kern w:val="0"/>
        </w:rPr>
      </w:pPr>
      <w:r w:rsidRPr="00B750DA">
        <w:rPr>
          <w:rFonts w:ascii="楷体" w:eastAsia="楷体" w:hAnsi="楷体" w:cs="Times New Roman"/>
          <w:color w:val="000000"/>
          <w:kern w:val="0"/>
        </w:rPr>
        <w:t>大学肩负着以培养国际智慧型企业家作为大学的建校使命，促进国家在创意产业领域的全方面发展。学校总占地面积237,200平方米，在校生一万三千多人，并享有泰国皇室成员主持毕业典礼、颁发学位证的殊荣。专业涵盖文、理、工、商各个领域，尤其在建筑设计、工业技术研究、管理学科、航空技术等领域具有突出优势。现有本科专业88个、硕士专业15个、博士专业5个，面向国际学生（本科、硕士、博士）学位课程专业（中英文授课）7个。学校已经成为培养国际人才的重要基地。该校是中国教育部承认的第一批泰国高校，所开设学位受到中泰两国教育部认证。</w:t>
      </w:r>
    </w:p>
    <w:p w:rsidR="000E4024" w:rsidRPr="000E4024" w:rsidRDefault="000E4024" w:rsidP="00B750DA">
      <w:pPr>
        <w:widowControl/>
        <w:spacing w:before="312" w:after="156" w:line="440" w:lineRule="atLeast"/>
        <w:ind w:firstLine="360"/>
        <w:outlineLvl w:val="2"/>
        <w:rPr>
          <w:rFonts w:ascii="宋体" w:eastAsia="宋体" w:hAnsi="宋体" w:cs="宋体"/>
          <w:b/>
          <w:bCs/>
          <w:color w:val="000000"/>
          <w:kern w:val="0"/>
        </w:rPr>
      </w:pPr>
      <w:r w:rsidRPr="000E4024">
        <w:rPr>
          <w:rFonts w:ascii="宋体" w:eastAsia="宋体" w:hAnsi="宋体" w:cs="宋体" w:hint="eastAsia"/>
          <w:b/>
          <w:bCs/>
          <w:color w:val="000000"/>
          <w:kern w:val="0"/>
        </w:rPr>
        <w:t>一、</w:t>
      </w:r>
      <w:r w:rsidRPr="000E4024">
        <w:rPr>
          <w:rFonts w:ascii="楷体" w:eastAsia="楷体" w:hAnsi="楷体" w:cs="宋体" w:hint="eastAsia"/>
          <w:b/>
          <w:bCs/>
          <w:color w:val="000000"/>
          <w:kern w:val="0"/>
        </w:rPr>
        <w:t>招收对象</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主要面向企事业中高层管理人员、高校教师和其他成功人士</w:t>
      </w:r>
    </w:p>
    <w:p w:rsidR="000E4024" w:rsidRPr="000E4024" w:rsidRDefault="000E4024" w:rsidP="000E4024">
      <w:pPr>
        <w:widowControl/>
        <w:spacing w:before="312" w:after="156" w:line="440" w:lineRule="atLeast"/>
        <w:ind w:firstLine="360"/>
        <w:outlineLvl w:val="2"/>
        <w:rPr>
          <w:rFonts w:ascii="宋体" w:eastAsia="宋体" w:hAnsi="宋体" w:cs="宋体"/>
          <w:b/>
          <w:bCs/>
          <w:color w:val="000000"/>
          <w:kern w:val="0"/>
        </w:rPr>
      </w:pPr>
      <w:bookmarkStart w:id="1" w:name="_Hlk36725441"/>
      <w:bookmarkEnd w:id="1"/>
      <w:r w:rsidRPr="000E4024">
        <w:rPr>
          <w:rFonts w:ascii="楷体" w:eastAsia="楷体" w:hAnsi="楷体" w:cs="宋体" w:hint="eastAsia"/>
          <w:b/>
          <w:bCs/>
          <w:color w:val="000000"/>
          <w:kern w:val="0"/>
        </w:rPr>
        <w:t>二、学制及毕业期限</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学制三年（不得超过六年）</w:t>
      </w:r>
    </w:p>
    <w:p w:rsidR="000E4024" w:rsidRPr="000E4024" w:rsidRDefault="000E4024" w:rsidP="000E4024">
      <w:pPr>
        <w:widowControl/>
        <w:spacing w:before="312" w:after="156" w:line="440" w:lineRule="atLeast"/>
        <w:ind w:firstLine="360"/>
        <w:outlineLvl w:val="2"/>
        <w:rPr>
          <w:rFonts w:ascii="宋体" w:eastAsia="宋体" w:hAnsi="宋体" w:cs="宋体"/>
          <w:b/>
          <w:bCs/>
          <w:color w:val="000000"/>
          <w:kern w:val="0"/>
        </w:rPr>
      </w:pPr>
      <w:r w:rsidRPr="000E4024">
        <w:rPr>
          <w:rFonts w:ascii="楷体" w:eastAsia="楷体" w:hAnsi="楷体" w:cs="宋体" w:hint="eastAsia"/>
          <w:b/>
          <w:bCs/>
          <w:color w:val="000000"/>
          <w:kern w:val="0"/>
        </w:rPr>
        <w:t>三、学习形式</w:t>
      </w:r>
    </w:p>
    <w:p w:rsidR="000E4024" w:rsidRPr="000E4024" w:rsidRDefault="000E4024" w:rsidP="00375F55">
      <w:pPr>
        <w:widowControl/>
        <w:spacing w:line="440" w:lineRule="atLeast"/>
        <w:ind w:firstLine="560"/>
        <w:rPr>
          <w:rFonts w:ascii="楷体" w:eastAsia="楷体" w:hAnsi="楷体" w:cs="Times New Roman"/>
          <w:color w:val="000000"/>
          <w:kern w:val="0"/>
        </w:rPr>
      </w:pPr>
      <w:r w:rsidRPr="000E4024">
        <w:rPr>
          <w:rFonts w:ascii="楷体" w:eastAsia="楷体" w:hAnsi="楷体" w:cs="Times New Roman" w:hint="eastAsia"/>
          <w:color w:val="000000"/>
          <w:kern w:val="0"/>
        </w:rPr>
        <w:t>课程学习+博士论文</w:t>
      </w:r>
    </w:p>
    <w:p w:rsidR="00B750DA" w:rsidRDefault="00B750DA" w:rsidP="000E4024">
      <w:pPr>
        <w:widowControl/>
        <w:spacing w:before="312" w:after="156" w:line="440" w:lineRule="atLeast"/>
        <w:ind w:firstLine="360"/>
        <w:outlineLvl w:val="2"/>
        <w:rPr>
          <w:rFonts w:ascii="楷体" w:eastAsia="楷体" w:hAnsi="楷体" w:cs="宋体"/>
          <w:b/>
          <w:bCs/>
          <w:color w:val="000000"/>
          <w:kern w:val="0"/>
        </w:rPr>
      </w:pPr>
    </w:p>
    <w:p w:rsidR="00B750DA" w:rsidRDefault="00B750DA" w:rsidP="000E4024">
      <w:pPr>
        <w:widowControl/>
        <w:spacing w:before="312" w:after="156" w:line="440" w:lineRule="atLeast"/>
        <w:ind w:firstLine="360"/>
        <w:outlineLvl w:val="2"/>
        <w:rPr>
          <w:rFonts w:ascii="楷体" w:eastAsia="楷体" w:hAnsi="楷体" w:cs="宋体"/>
          <w:b/>
          <w:bCs/>
          <w:color w:val="000000"/>
          <w:kern w:val="0"/>
        </w:rPr>
      </w:pPr>
    </w:p>
    <w:p w:rsidR="000E4024" w:rsidRPr="000E4024" w:rsidRDefault="000E4024" w:rsidP="000E4024">
      <w:pPr>
        <w:widowControl/>
        <w:spacing w:before="312" w:after="156" w:line="440" w:lineRule="atLeast"/>
        <w:ind w:firstLine="360"/>
        <w:outlineLvl w:val="2"/>
        <w:rPr>
          <w:rFonts w:ascii="宋体" w:eastAsia="宋体" w:hAnsi="宋体" w:cs="宋体"/>
          <w:b/>
          <w:bCs/>
          <w:color w:val="000000"/>
          <w:kern w:val="0"/>
        </w:rPr>
      </w:pPr>
      <w:r w:rsidRPr="000E4024">
        <w:rPr>
          <w:rFonts w:ascii="楷体" w:eastAsia="楷体" w:hAnsi="楷体" w:cs="宋体" w:hint="eastAsia"/>
          <w:b/>
          <w:bCs/>
          <w:color w:val="000000"/>
          <w:kern w:val="0"/>
        </w:rPr>
        <w:lastRenderedPageBreak/>
        <w:t>四、研究方向及招生人数</w:t>
      </w:r>
    </w:p>
    <w:tbl>
      <w:tblPr>
        <w:tblW w:w="4950" w:type="pct"/>
        <w:jc w:val="center"/>
        <w:tblCellMar>
          <w:left w:w="0" w:type="dxa"/>
          <w:right w:w="0" w:type="dxa"/>
        </w:tblCellMar>
        <w:tblLook w:val="04A0" w:firstRow="1" w:lastRow="0" w:firstColumn="1" w:lastColumn="0" w:noHBand="0" w:noVBand="1"/>
      </w:tblPr>
      <w:tblGrid>
        <w:gridCol w:w="2962"/>
        <w:gridCol w:w="1742"/>
        <w:gridCol w:w="1915"/>
        <w:gridCol w:w="1915"/>
      </w:tblGrid>
      <w:tr w:rsidR="000E4024" w:rsidRPr="000E4024" w:rsidTr="000E4024">
        <w:trPr>
          <w:trHeight w:val="794"/>
          <w:jc w:val="center"/>
        </w:trPr>
        <w:tc>
          <w:tcPr>
            <w:tcW w:w="17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024" w:rsidRPr="000E4024" w:rsidRDefault="000E4024" w:rsidP="000E4024">
            <w:pPr>
              <w:widowControl/>
              <w:spacing w:line="440" w:lineRule="atLeast"/>
              <w:jc w:val="center"/>
              <w:rPr>
                <w:rFonts w:ascii="Times New Roman" w:eastAsia="宋体" w:hAnsi="Times New Roman" w:cs="Times New Roman"/>
                <w:kern w:val="0"/>
              </w:rPr>
            </w:pPr>
            <w:r w:rsidRPr="00375F55">
              <w:rPr>
                <w:rFonts w:ascii="楷体" w:eastAsia="楷体" w:hAnsi="楷体" w:cs="Times New Roman" w:hint="eastAsia"/>
                <w:b/>
                <w:bCs/>
                <w:kern w:val="0"/>
              </w:rPr>
              <w:t>学科专业名称</w:t>
            </w:r>
          </w:p>
        </w:tc>
        <w:tc>
          <w:tcPr>
            <w:tcW w:w="100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4024" w:rsidRPr="000E4024" w:rsidRDefault="000E4024" w:rsidP="000E4024">
            <w:pPr>
              <w:widowControl/>
              <w:spacing w:line="440" w:lineRule="atLeast"/>
              <w:jc w:val="center"/>
              <w:rPr>
                <w:rFonts w:ascii="Times New Roman" w:eastAsia="宋体" w:hAnsi="Times New Roman" w:cs="Times New Roman"/>
                <w:kern w:val="0"/>
              </w:rPr>
            </w:pPr>
            <w:r w:rsidRPr="00375F55">
              <w:rPr>
                <w:rFonts w:ascii="楷体" w:eastAsia="楷体" w:hAnsi="楷体" w:cs="Times New Roman" w:hint="eastAsia"/>
                <w:b/>
                <w:bCs/>
                <w:kern w:val="0"/>
              </w:rPr>
              <w:t>类型</w:t>
            </w:r>
          </w:p>
        </w:tc>
        <w:tc>
          <w:tcPr>
            <w:tcW w:w="110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4024" w:rsidRPr="000E4024" w:rsidRDefault="000E4024" w:rsidP="000E4024">
            <w:pPr>
              <w:widowControl/>
              <w:spacing w:line="440" w:lineRule="atLeast"/>
              <w:jc w:val="center"/>
              <w:rPr>
                <w:rFonts w:ascii="Times New Roman" w:eastAsia="宋体" w:hAnsi="Times New Roman" w:cs="Times New Roman"/>
                <w:kern w:val="0"/>
              </w:rPr>
            </w:pPr>
            <w:r w:rsidRPr="00375F55">
              <w:rPr>
                <w:rFonts w:ascii="楷体" w:eastAsia="楷体" w:hAnsi="楷体" w:cs="Times New Roman" w:hint="eastAsia"/>
                <w:b/>
                <w:bCs/>
                <w:kern w:val="0"/>
              </w:rPr>
              <w:t>研究方向</w:t>
            </w:r>
          </w:p>
        </w:tc>
        <w:tc>
          <w:tcPr>
            <w:tcW w:w="110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4024" w:rsidRPr="000E4024" w:rsidRDefault="000E4024" w:rsidP="000E4024">
            <w:pPr>
              <w:widowControl/>
              <w:spacing w:line="440" w:lineRule="atLeast"/>
              <w:jc w:val="center"/>
              <w:rPr>
                <w:rFonts w:ascii="Times New Roman" w:eastAsia="宋体" w:hAnsi="Times New Roman" w:cs="Times New Roman"/>
                <w:kern w:val="0"/>
              </w:rPr>
            </w:pPr>
            <w:r w:rsidRPr="00375F55">
              <w:rPr>
                <w:rFonts w:ascii="楷体" w:eastAsia="楷体" w:hAnsi="楷体" w:cs="Times New Roman" w:hint="eastAsia"/>
                <w:b/>
                <w:bCs/>
                <w:kern w:val="0"/>
              </w:rPr>
              <w:t>招生人数</w:t>
            </w:r>
          </w:p>
        </w:tc>
      </w:tr>
      <w:tr w:rsidR="000E4024" w:rsidRPr="000E4024" w:rsidTr="000E4024">
        <w:trPr>
          <w:trHeight w:val="985"/>
          <w:jc w:val="center"/>
        </w:trPr>
        <w:tc>
          <w:tcPr>
            <w:tcW w:w="17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024" w:rsidRPr="000E4024" w:rsidRDefault="000E4024" w:rsidP="000E4024">
            <w:pPr>
              <w:widowControl/>
              <w:spacing w:line="440" w:lineRule="atLeast"/>
              <w:jc w:val="center"/>
              <w:rPr>
                <w:rFonts w:ascii="Times New Roman" w:eastAsia="宋体" w:hAnsi="Times New Roman" w:cs="Times New Roman"/>
                <w:kern w:val="0"/>
              </w:rPr>
            </w:pPr>
            <w:r w:rsidRPr="00375F55">
              <w:rPr>
                <w:rFonts w:ascii="楷体" w:eastAsia="楷体" w:hAnsi="楷体" w:cs="Times New Roman" w:hint="eastAsia"/>
                <w:kern w:val="0"/>
              </w:rPr>
              <w:t>管理哲学</w:t>
            </w:r>
            <w:r w:rsidRPr="000E4024">
              <w:rPr>
                <w:rFonts w:ascii="楷体" w:eastAsia="楷体" w:hAnsi="楷体" w:cs="Times New Roman" w:hint="eastAsia"/>
                <w:kern w:val="0"/>
              </w:rPr>
              <w:t>博士</w:t>
            </w:r>
          </w:p>
          <w:p w:rsidR="000E4024" w:rsidRPr="000E4024" w:rsidRDefault="000E4024" w:rsidP="000E4024">
            <w:pPr>
              <w:widowControl/>
              <w:spacing w:line="440" w:lineRule="atLeast"/>
              <w:jc w:val="center"/>
              <w:rPr>
                <w:rFonts w:ascii="Times New Roman" w:eastAsia="宋体" w:hAnsi="Times New Roman" w:cs="Times New Roman"/>
                <w:kern w:val="0"/>
              </w:rPr>
            </w:pPr>
            <w:r w:rsidRPr="000E4024">
              <w:rPr>
                <w:rFonts w:ascii="楷体" w:eastAsia="楷体" w:hAnsi="楷体" w:cs="Times New Roman" w:hint="eastAsia"/>
                <w:kern w:val="0"/>
              </w:rPr>
              <w:t>（</w:t>
            </w:r>
            <w:r w:rsidRPr="00375F55">
              <w:rPr>
                <w:rFonts w:ascii="Times New Roman" w:eastAsia="宋体" w:hAnsi="Times New Roman" w:cs="Times New Roman" w:hint="eastAsia"/>
                <w:kern w:val="0"/>
              </w:rPr>
              <w:t>PHD</w:t>
            </w:r>
            <w:r w:rsidRPr="000E4024">
              <w:rPr>
                <w:rFonts w:ascii="楷体" w:eastAsia="楷体" w:hAnsi="楷体" w:cs="Times New Roman" w:hint="eastAsia"/>
                <w:kern w:val="0"/>
              </w:rPr>
              <w:t>）</w:t>
            </w:r>
          </w:p>
        </w:tc>
        <w:tc>
          <w:tcPr>
            <w:tcW w:w="100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4024" w:rsidRPr="000E4024" w:rsidRDefault="000E4024" w:rsidP="000E4024">
            <w:pPr>
              <w:widowControl/>
              <w:spacing w:line="440" w:lineRule="atLeast"/>
              <w:jc w:val="center"/>
              <w:rPr>
                <w:rFonts w:ascii="Times New Roman" w:eastAsia="宋体" w:hAnsi="Times New Roman" w:cs="Times New Roman"/>
                <w:kern w:val="0"/>
              </w:rPr>
            </w:pPr>
            <w:r w:rsidRPr="000E4024">
              <w:rPr>
                <w:rFonts w:ascii="楷体" w:eastAsia="楷体" w:hAnsi="楷体" w:cs="Times New Roman" w:hint="eastAsia"/>
                <w:kern w:val="0"/>
              </w:rPr>
              <w:t>全日制</w:t>
            </w:r>
          </w:p>
        </w:tc>
        <w:tc>
          <w:tcPr>
            <w:tcW w:w="110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4024" w:rsidRPr="00375F55" w:rsidRDefault="000E4024" w:rsidP="000E4024">
            <w:pPr>
              <w:widowControl/>
              <w:spacing w:line="440" w:lineRule="atLeast"/>
              <w:jc w:val="left"/>
              <w:rPr>
                <w:rFonts w:ascii="楷体" w:eastAsia="楷体" w:hAnsi="楷体" w:cs="Times New Roman"/>
                <w:kern w:val="0"/>
              </w:rPr>
            </w:pPr>
            <w:r w:rsidRPr="00375F55">
              <w:rPr>
                <w:rFonts w:ascii="楷体" w:eastAsia="楷体" w:hAnsi="楷体" w:cs="Times New Roman" w:hint="eastAsia"/>
                <w:kern w:val="0"/>
              </w:rPr>
              <w:t>创新商务管理</w:t>
            </w:r>
          </w:p>
          <w:p w:rsidR="000E4024" w:rsidRPr="000E4024" w:rsidRDefault="000E4024" w:rsidP="000E4024">
            <w:pPr>
              <w:widowControl/>
              <w:spacing w:line="440" w:lineRule="atLeast"/>
              <w:jc w:val="left"/>
              <w:rPr>
                <w:rFonts w:ascii="楷体" w:eastAsia="楷体" w:hAnsi="楷体" w:cs="Times New Roman"/>
                <w:kern w:val="0"/>
              </w:rPr>
            </w:pPr>
            <w:r w:rsidRPr="00375F55">
              <w:rPr>
                <w:rFonts w:ascii="楷体" w:eastAsia="楷体" w:hAnsi="楷体" w:cs="Times New Roman" w:hint="eastAsia"/>
                <w:kern w:val="0"/>
              </w:rPr>
              <w:t>教育管理</w:t>
            </w:r>
          </w:p>
          <w:p w:rsidR="000E4024" w:rsidRPr="00375F55" w:rsidRDefault="000E4024" w:rsidP="000E4024">
            <w:pPr>
              <w:widowControl/>
              <w:spacing w:line="440" w:lineRule="atLeast"/>
              <w:jc w:val="left"/>
              <w:rPr>
                <w:rFonts w:ascii="楷体" w:eastAsia="楷体" w:hAnsi="楷体" w:cs="Times New Roman"/>
                <w:kern w:val="0"/>
              </w:rPr>
            </w:pPr>
            <w:r w:rsidRPr="00375F55">
              <w:rPr>
                <w:rFonts w:ascii="楷体" w:eastAsia="楷体" w:hAnsi="楷体" w:cs="Times New Roman" w:hint="eastAsia"/>
                <w:kern w:val="0"/>
              </w:rPr>
              <w:t>公共行政管理</w:t>
            </w:r>
          </w:p>
          <w:p w:rsidR="000E4024" w:rsidRPr="00375F55" w:rsidRDefault="000E4024" w:rsidP="000E4024">
            <w:pPr>
              <w:widowControl/>
              <w:spacing w:line="440" w:lineRule="atLeast"/>
              <w:jc w:val="left"/>
              <w:rPr>
                <w:rFonts w:ascii="楷体" w:eastAsia="楷体" w:hAnsi="楷体" w:cs="Times New Roman"/>
                <w:kern w:val="0"/>
              </w:rPr>
            </w:pPr>
            <w:r w:rsidRPr="00375F55">
              <w:rPr>
                <w:rFonts w:ascii="楷体" w:eastAsia="楷体" w:hAnsi="楷体" w:cs="Times New Roman" w:hint="eastAsia"/>
                <w:kern w:val="0"/>
              </w:rPr>
              <w:t>财务管理</w:t>
            </w:r>
          </w:p>
          <w:p w:rsidR="000E4024" w:rsidRPr="00375F55" w:rsidRDefault="000E4024" w:rsidP="000E4024">
            <w:pPr>
              <w:widowControl/>
              <w:spacing w:line="440" w:lineRule="atLeast"/>
              <w:jc w:val="left"/>
              <w:rPr>
                <w:rFonts w:ascii="楷体" w:eastAsia="楷体" w:hAnsi="楷体" w:cs="Times New Roman"/>
                <w:kern w:val="0"/>
              </w:rPr>
            </w:pPr>
            <w:r w:rsidRPr="00375F55">
              <w:rPr>
                <w:rFonts w:ascii="楷体" w:eastAsia="楷体" w:hAnsi="楷体" w:cs="Times New Roman" w:hint="eastAsia"/>
                <w:kern w:val="0"/>
              </w:rPr>
              <w:t>健康医疗管理</w:t>
            </w:r>
          </w:p>
          <w:p w:rsidR="000E4024" w:rsidRPr="00375F55" w:rsidRDefault="000E4024" w:rsidP="000E4024">
            <w:pPr>
              <w:widowControl/>
              <w:spacing w:line="440" w:lineRule="atLeast"/>
              <w:jc w:val="left"/>
              <w:rPr>
                <w:rFonts w:ascii="楷体" w:eastAsia="楷体" w:hAnsi="楷体" w:cs="Times New Roman"/>
                <w:kern w:val="0"/>
              </w:rPr>
            </w:pPr>
            <w:r w:rsidRPr="00375F55">
              <w:rPr>
                <w:rFonts w:ascii="楷体" w:eastAsia="楷体" w:hAnsi="楷体" w:cs="Times New Roman" w:hint="eastAsia"/>
                <w:kern w:val="0"/>
              </w:rPr>
              <w:t>旅游与酒店管理</w:t>
            </w:r>
          </w:p>
          <w:p w:rsidR="000E4024" w:rsidRPr="000E4024" w:rsidRDefault="000E4024" w:rsidP="000E4024">
            <w:pPr>
              <w:widowControl/>
              <w:spacing w:line="440" w:lineRule="atLeast"/>
              <w:jc w:val="left"/>
              <w:rPr>
                <w:rFonts w:ascii="Times New Roman" w:eastAsia="宋体" w:hAnsi="Times New Roman" w:cs="Times New Roman"/>
                <w:kern w:val="0"/>
              </w:rPr>
            </w:pPr>
            <w:r w:rsidRPr="00375F55">
              <w:rPr>
                <w:rFonts w:ascii="楷体" w:eastAsia="楷体" w:hAnsi="楷体" w:cs="Times New Roman" w:hint="eastAsia"/>
                <w:kern w:val="0"/>
              </w:rPr>
              <w:t>工程管理</w:t>
            </w:r>
          </w:p>
        </w:tc>
        <w:tc>
          <w:tcPr>
            <w:tcW w:w="110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4024" w:rsidRPr="000E4024" w:rsidRDefault="000E4024" w:rsidP="000E4024">
            <w:pPr>
              <w:widowControl/>
              <w:spacing w:line="440" w:lineRule="atLeast"/>
              <w:jc w:val="center"/>
              <w:rPr>
                <w:rFonts w:ascii="Times New Roman" w:eastAsia="宋体" w:hAnsi="Times New Roman" w:cs="Times New Roman"/>
                <w:kern w:val="0"/>
              </w:rPr>
            </w:pPr>
            <w:r w:rsidRPr="000E4024">
              <w:rPr>
                <w:rFonts w:ascii="楷体" w:eastAsia="楷体" w:hAnsi="楷体" w:cs="Times New Roman" w:hint="eastAsia"/>
                <w:kern w:val="0"/>
              </w:rPr>
              <w:t>15名</w:t>
            </w:r>
          </w:p>
        </w:tc>
      </w:tr>
    </w:tbl>
    <w:p w:rsidR="000E4024" w:rsidRPr="000E4024" w:rsidRDefault="000E4024" w:rsidP="000E4024">
      <w:pPr>
        <w:widowControl/>
        <w:spacing w:before="312" w:after="156" w:line="440" w:lineRule="atLeast"/>
        <w:ind w:firstLine="360"/>
        <w:outlineLvl w:val="2"/>
        <w:rPr>
          <w:rFonts w:ascii="宋体" w:eastAsia="宋体" w:hAnsi="宋体" w:cs="宋体"/>
          <w:b/>
          <w:bCs/>
          <w:color w:val="000000"/>
          <w:kern w:val="0"/>
        </w:rPr>
      </w:pPr>
      <w:r w:rsidRPr="000E4024">
        <w:rPr>
          <w:rFonts w:ascii="楷体" w:eastAsia="楷体" w:hAnsi="楷体" w:cs="宋体" w:hint="eastAsia"/>
          <w:b/>
          <w:bCs/>
          <w:color w:val="000000"/>
          <w:kern w:val="0"/>
        </w:rPr>
        <w:t>五、入学条件</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1、取得管理科学类本、硕学位证及成绩单(公证件)；</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2、同等学历提供本、硕毕业证明及成绩单(公证件)；</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3、硕士学习阶段平均成绩75分以上（百分制）；</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4、具有良好的英语基础，并通过录取测试（网络面试）；</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5、体检证明无影响学业的传染性疾病或重大残疾；</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6、无犯罪记录证明(公证件)；</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7、如学历不是管理科学相关领域，学生需修读前置管理学基础课；</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8、两封来自大学教授或者单位领导的推荐信(中英文各一份)；</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r w:rsidRPr="000E4024">
        <w:rPr>
          <w:rFonts w:ascii="楷体" w:eastAsia="楷体" w:hAnsi="楷体" w:cs="Times New Roman" w:hint="eastAsia"/>
          <w:color w:val="000000"/>
          <w:kern w:val="0"/>
        </w:rPr>
        <w:t>9、如无雅思、托福的语言成绩，需修研究生英语课程前置课程；</w:t>
      </w:r>
    </w:p>
    <w:p w:rsidR="000E4024" w:rsidRPr="000E4024" w:rsidRDefault="000E4024" w:rsidP="000E4024">
      <w:pPr>
        <w:widowControl/>
        <w:spacing w:line="440" w:lineRule="atLeast"/>
        <w:ind w:firstLine="561"/>
        <w:rPr>
          <w:rFonts w:ascii="Times New Roman" w:eastAsia="宋体" w:hAnsi="Times New Roman" w:cs="Times New Roman"/>
          <w:color w:val="000000"/>
          <w:kern w:val="0"/>
        </w:rPr>
      </w:pPr>
    </w:p>
    <w:p w:rsidR="000E4024" w:rsidRPr="000E4024" w:rsidRDefault="000E4024" w:rsidP="000E4024">
      <w:pPr>
        <w:widowControl/>
        <w:ind w:firstLineChars="100" w:firstLine="241"/>
        <w:jc w:val="left"/>
        <w:rPr>
          <w:rFonts w:ascii="宋体" w:eastAsia="宋体" w:hAnsi="宋体" w:cs="宋体"/>
          <w:b/>
          <w:kern w:val="0"/>
        </w:rPr>
      </w:pPr>
      <w:r w:rsidRPr="000E4024">
        <w:rPr>
          <w:rFonts w:ascii="楷体" w:eastAsia="楷体" w:hAnsi="楷体" w:cs="宋体" w:hint="eastAsia"/>
          <w:b/>
          <w:color w:val="000000"/>
          <w:kern w:val="0"/>
        </w:rPr>
        <w:t>六、报名程序</w:t>
      </w:r>
      <w:r w:rsidRPr="00375F55">
        <w:rPr>
          <w:rFonts w:ascii="Calibri" w:eastAsia="楷体" w:hAnsi="Calibri" w:cs="Calibri"/>
          <w:b/>
          <w:color w:val="000000"/>
          <w:kern w:val="0"/>
        </w:rPr>
        <w:t> </w:t>
      </w:r>
    </w:p>
    <w:p w:rsidR="000E4024" w:rsidRPr="000E4024" w:rsidRDefault="000E4024" w:rsidP="000E4024">
      <w:pPr>
        <w:widowControl/>
        <w:spacing w:line="440" w:lineRule="atLeast"/>
        <w:ind w:firstLine="562"/>
        <w:rPr>
          <w:rFonts w:ascii="Times New Roman" w:eastAsia="宋体" w:hAnsi="Times New Roman" w:cs="Times New Roman"/>
          <w:color w:val="000000"/>
          <w:kern w:val="0"/>
        </w:rPr>
      </w:pPr>
      <w:r w:rsidRPr="00375F55">
        <w:rPr>
          <w:rFonts w:ascii="楷体" w:eastAsia="楷体" w:hAnsi="楷体" w:cs="Times New Roman" w:hint="eastAsia"/>
          <w:b/>
          <w:bCs/>
          <w:color w:val="000000"/>
          <w:kern w:val="0"/>
        </w:rPr>
        <w:t>（一）报名</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填写报名表，并提交入学规定条件的原件、复印件到</w:t>
      </w:r>
      <w:r w:rsidRPr="00375F55">
        <w:rPr>
          <w:rFonts w:ascii="楷体" w:eastAsia="楷体" w:hAnsi="楷体" w:cs="Times New Roman" w:hint="eastAsia"/>
          <w:color w:val="000000"/>
          <w:kern w:val="0"/>
        </w:rPr>
        <w:t>泰国皇家理工大学江西办事处</w:t>
      </w:r>
      <w:r w:rsidRPr="000E4024">
        <w:rPr>
          <w:rFonts w:ascii="楷体" w:eastAsia="楷体" w:hAnsi="楷体" w:cs="Times New Roman" w:hint="eastAsia"/>
          <w:color w:val="000000"/>
          <w:kern w:val="0"/>
        </w:rPr>
        <w:t>办公室。材料经审核通过后，进入面试环节。</w:t>
      </w:r>
    </w:p>
    <w:p w:rsidR="000E4024" w:rsidRPr="000E4024" w:rsidRDefault="000E4024" w:rsidP="000E4024">
      <w:pPr>
        <w:widowControl/>
        <w:spacing w:line="440" w:lineRule="atLeast"/>
        <w:ind w:firstLine="562"/>
        <w:rPr>
          <w:rFonts w:ascii="Times New Roman" w:eastAsia="宋体" w:hAnsi="Times New Roman" w:cs="Times New Roman"/>
          <w:color w:val="000000"/>
          <w:kern w:val="0"/>
        </w:rPr>
      </w:pPr>
      <w:r w:rsidRPr="00375F55">
        <w:rPr>
          <w:rFonts w:ascii="楷体" w:eastAsia="楷体" w:hAnsi="楷体" w:cs="Times New Roman" w:hint="eastAsia"/>
          <w:b/>
          <w:bCs/>
          <w:color w:val="000000"/>
          <w:kern w:val="0"/>
        </w:rPr>
        <w:t>（二）面试</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375F55">
        <w:rPr>
          <w:rFonts w:ascii="楷体" w:eastAsia="楷体" w:hAnsi="楷体" w:cs="Times New Roman" w:hint="eastAsia"/>
          <w:color w:val="000000"/>
          <w:kern w:val="0"/>
        </w:rPr>
        <w:t>面试由泰方</w:t>
      </w:r>
      <w:r w:rsidRPr="000E4024">
        <w:rPr>
          <w:rFonts w:ascii="楷体" w:eastAsia="楷体" w:hAnsi="楷体" w:cs="Times New Roman" w:hint="eastAsia"/>
          <w:color w:val="000000"/>
          <w:kern w:val="0"/>
        </w:rPr>
        <w:t>组织。</w:t>
      </w:r>
    </w:p>
    <w:p w:rsidR="000E4024" w:rsidRPr="000E4024" w:rsidRDefault="000E4024" w:rsidP="000E4024">
      <w:pPr>
        <w:widowControl/>
        <w:spacing w:line="440" w:lineRule="atLeast"/>
        <w:ind w:firstLine="562"/>
        <w:rPr>
          <w:rFonts w:ascii="Times New Roman" w:eastAsia="宋体" w:hAnsi="Times New Roman" w:cs="Times New Roman"/>
          <w:color w:val="000000"/>
          <w:kern w:val="0"/>
        </w:rPr>
      </w:pPr>
      <w:r w:rsidRPr="00375F55">
        <w:rPr>
          <w:rFonts w:ascii="楷体" w:eastAsia="楷体" w:hAnsi="楷体" w:cs="Times New Roman" w:hint="eastAsia"/>
          <w:b/>
          <w:bCs/>
          <w:color w:val="000000"/>
          <w:kern w:val="0"/>
        </w:rPr>
        <w:t>（三）录取</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lastRenderedPageBreak/>
        <w:t>经面试合格，由泰国东方皇家理工大学发放</w:t>
      </w:r>
      <w:r w:rsidRPr="00375F55">
        <w:rPr>
          <w:rFonts w:ascii="楷体" w:eastAsia="楷体" w:hAnsi="楷体" w:cs="Times New Roman" w:hint="eastAsia"/>
          <w:color w:val="000000"/>
          <w:kern w:val="0"/>
        </w:rPr>
        <w:t>PHD管理哲学</w:t>
      </w:r>
      <w:r w:rsidRPr="000E4024">
        <w:rPr>
          <w:rFonts w:ascii="楷体" w:eastAsia="楷体" w:hAnsi="楷体" w:cs="Times New Roman" w:hint="eastAsia"/>
          <w:color w:val="000000"/>
          <w:kern w:val="0"/>
        </w:rPr>
        <w:t>博士研究生录取通知书和报到须知。</w:t>
      </w:r>
    </w:p>
    <w:p w:rsidR="000E4024" w:rsidRPr="000E4024" w:rsidRDefault="000E4024" w:rsidP="000E4024">
      <w:pPr>
        <w:widowControl/>
        <w:spacing w:line="440" w:lineRule="atLeast"/>
        <w:ind w:firstLine="562"/>
        <w:rPr>
          <w:rFonts w:ascii="Times New Roman" w:eastAsia="宋体" w:hAnsi="Times New Roman" w:cs="Times New Roman"/>
          <w:color w:val="000000"/>
          <w:kern w:val="0"/>
        </w:rPr>
      </w:pPr>
      <w:r w:rsidRPr="00375F55">
        <w:rPr>
          <w:rFonts w:ascii="楷体" w:eastAsia="楷体" w:hAnsi="楷体" w:cs="Times New Roman" w:hint="eastAsia"/>
          <w:b/>
          <w:bCs/>
          <w:color w:val="000000"/>
          <w:kern w:val="0"/>
        </w:rPr>
        <w:t>（四）申请</w:t>
      </w:r>
    </w:p>
    <w:p w:rsidR="000E4024" w:rsidRPr="000E4024" w:rsidRDefault="000E4024" w:rsidP="000E4024">
      <w:pPr>
        <w:widowControl/>
        <w:spacing w:line="440" w:lineRule="atLeast"/>
        <w:ind w:firstLine="360"/>
        <w:rPr>
          <w:rFonts w:ascii="Times New Roman" w:eastAsia="宋体" w:hAnsi="Times New Roman" w:cs="Times New Roman"/>
          <w:color w:val="000000"/>
          <w:kern w:val="0"/>
        </w:rPr>
      </w:pPr>
      <w:r w:rsidRPr="00375F55">
        <w:rPr>
          <w:rFonts w:ascii="Calibri" w:eastAsia="楷体" w:hAnsi="Calibri" w:cs="Calibri"/>
          <w:b/>
          <w:bCs/>
          <w:color w:val="000000"/>
          <w:kern w:val="0"/>
        </w:rPr>
        <w:t> </w:t>
      </w:r>
      <w:r w:rsidRPr="000E4024">
        <w:rPr>
          <w:rFonts w:ascii="Calibri" w:eastAsia="楷体" w:hAnsi="Calibri" w:cs="Calibri"/>
          <w:color w:val="000000"/>
          <w:kern w:val="0"/>
        </w:rPr>
        <w:t>  </w:t>
      </w:r>
      <w:r w:rsidRPr="00375F55">
        <w:rPr>
          <w:rFonts w:ascii="Calibri" w:eastAsia="楷体" w:hAnsi="Calibri" w:cs="Calibri"/>
          <w:color w:val="000000"/>
          <w:kern w:val="0"/>
        </w:rPr>
        <w:t> </w:t>
      </w:r>
      <w:r w:rsidRPr="000E4024">
        <w:rPr>
          <w:rFonts w:ascii="楷体" w:eastAsia="楷体" w:hAnsi="楷体" w:cs="Times New Roman" w:hint="eastAsia"/>
          <w:color w:val="000000"/>
          <w:kern w:val="0"/>
        </w:rPr>
        <w:t>按时递交入学申请材料。</w:t>
      </w:r>
    </w:p>
    <w:p w:rsidR="000E4024" w:rsidRPr="000E4024" w:rsidRDefault="000E4024" w:rsidP="000E4024">
      <w:pPr>
        <w:widowControl/>
        <w:spacing w:line="440" w:lineRule="atLeast"/>
        <w:ind w:firstLine="562"/>
        <w:rPr>
          <w:rFonts w:ascii="Times New Roman" w:eastAsia="宋体" w:hAnsi="Times New Roman" w:cs="Times New Roman"/>
          <w:color w:val="000000"/>
          <w:kern w:val="0"/>
        </w:rPr>
      </w:pPr>
      <w:r w:rsidRPr="00375F55">
        <w:rPr>
          <w:rFonts w:ascii="楷体" w:eastAsia="楷体" w:hAnsi="楷体" w:cs="Times New Roman" w:hint="eastAsia"/>
          <w:b/>
          <w:bCs/>
          <w:color w:val="000000"/>
          <w:kern w:val="0"/>
        </w:rPr>
        <w:t>（五）报到</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按照报到须知要求办理签证手续，并赴泰国东方皇家理工大学报到。</w:t>
      </w:r>
    </w:p>
    <w:p w:rsidR="000E4024" w:rsidRPr="000E4024" w:rsidRDefault="00BD7C68" w:rsidP="000E4024">
      <w:pPr>
        <w:widowControl/>
        <w:spacing w:before="312" w:after="156" w:line="440" w:lineRule="atLeast"/>
        <w:ind w:firstLine="360"/>
        <w:outlineLvl w:val="2"/>
        <w:rPr>
          <w:rFonts w:ascii="宋体" w:eastAsia="宋体" w:hAnsi="宋体" w:cs="宋体"/>
          <w:b/>
          <w:bCs/>
          <w:color w:val="000000"/>
          <w:kern w:val="0"/>
        </w:rPr>
      </w:pPr>
      <w:r>
        <w:rPr>
          <w:rFonts w:ascii="楷体" w:eastAsia="楷体" w:hAnsi="楷体" w:cs="宋体" w:hint="eastAsia"/>
          <w:b/>
          <w:bCs/>
          <w:color w:val="000000"/>
          <w:kern w:val="0"/>
        </w:rPr>
        <w:t>七、学习</w:t>
      </w:r>
      <w:r w:rsidR="000E4024" w:rsidRPr="000E4024">
        <w:rPr>
          <w:rFonts w:ascii="楷体" w:eastAsia="楷体" w:hAnsi="楷体" w:cs="宋体" w:hint="eastAsia"/>
          <w:b/>
          <w:bCs/>
          <w:color w:val="000000"/>
          <w:kern w:val="0"/>
        </w:rPr>
        <w:t>模式与时间分配</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1</w:t>
      </w:r>
      <w:r w:rsidR="00BD7C68">
        <w:rPr>
          <w:rFonts w:ascii="楷体" w:eastAsia="楷体" w:hAnsi="楷体" w:cs="Times New Roman" w:hint="eastAsia"/>
          <w:color w:val="000000"/>
          <w:kern w:val="0"/>
        </w:rPr>
        <w:t>、</w:t>
      </w:r>
      <w:r w:rsidRPr="000E4024">
        <w:rPr>
          <w:rFonts w:ascii="楷体" w:eastAsia="楷体" w:hAnsi="楷体" w:cs="Times New Roman" w:hint="eastAsia"/>
          <w:color w:val="000000"/>
          <w:kern w:val="0"/>
        </w:rPr>
        <w:t>采用“</w:t>
      </w:r>
      <w:r w:rsidRPr="00375F55">
        <w:rPr>
          <w:rFonts w:ascii="楷体" w:eastAsia="楷体" w:hAnsi="楷体" w:cs="Times New Roman"/>
          <w:color w:val="000000"/>
          <w:kern w:val="0"/>
        </w:rPr>
        <w:t>1</w:t>
      </w:r>
      <w:r w:rsidRPr="00375F55">
        <w:rPr>
          <w:rFonts w:ascii="楷体" w:eastAsia="楷体" w:hAnsi="楷体" w:cs="Times New Roman" w:hint="eastAsia"/>
          <w:color w:val="000000"/>
          <w:kern w:val="0"/>
        </w:rPr>
        <w:t>+</w:t>
      </w:r>
      <w:r w:rsidRPr="00375F55">
        <w:rPr>
          <w:rFonts w:ascii="楷体" w:eastAsia="楷体" w:hAnsi="楷体" w:cs="Times New Roman"/>
          <w:color w:val="000000"/>
          <w:kern w:val="0"/>
        </w:rPr>
        <w:t>2</w:t>
      </w:r>
      <w:r w:rsidR="00BD7C68">
        <w:rPr>
          <w:rFonts w:ascii="楷体" w:eastAsia="楷体" w:hAnsi="楷体" w:cs="Times New Roman" w:hint="eastAsia"/>
          <w:color w:val="000000"/>
          <w:kern w:val="0"/>
        </w:rPr>
        <w:t>”学习</w:t>
      </w:r>
      <w:r w:rsidRPr="000E4024">
        <w:rPr>
          <w:rFonts w:ascii="楷体" w:eastAsia="楷体" w:hAnsi="楷体" w:cs="Times New Roman" w:hint="eastAsia"/>
          <w:color w:val="000000"/>
          <w:kern w:val="0"/>
        </w:rPr>
        <w:t>模式：</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375F55">
        <w:rPr>
          <w:rFonts w:ascii="楷体" w:eastAsia="楷体" w:hAnsi="楷体" w:cs="Times New Roman"/>
          <w:color w:val="000000"/>
          <w:kern w:val="0"/>
        </w:rPr>
        <w:t>1</w:t>
      </w:r>
      <w:r w:rsidR="00B750DA">
        <w:rPr>
          <w:rFonts w:ascii="楷体" w:eastAsia="楷体" w:hAnsi="楷体" w:cs="Times New Roman" w:hint="eastAsia"/>
          <w:color w:val="000000"/>
          <w:kern w:val="0"/>
        </w:rPr>
        <w:t>年在中国国内合作</w:t>
      </w:r>
      <w:r w:rsidRPr="00375F55">
        <w:rPr>
          <w:rFonts w:ascii="楷体" w:eastAsia="楷体" w:hAnsi="楷体" w:cs="Times New Roman" w:hint="eastAsia"/>
          <w:color w:val="000000"/>
          <w:kern w:val="0"/>
        </w:rPr>
        <w:t>大学学习，</w:t>
      </w:r>
      <w:r w:rsidR="004E1C3A">
        <w:rPr>
          <w:rFonts w:ascii="楷体" w:eastAsia="楷体" w:hAnsi="楷体" w:cs="Times New Roman" w:hint="eastAsia"/>
          <w:color w:val="000000"/>
          <w:kern w:val="0"/>
        </w:rPr>
        <w:t>由获得泰方授权师资进行授课，</w:t>
      </w:r>
      <w:r w:rsidRPr="00375F55">
        <w:rPr>
          <w:rFonts w:ascii="楷体" w:eastAsia="楷体" w:hAnsi="楷体" w:cs="Times New Roman" w:hint="eastAsia"/>
          <w:color w:val="000000"/>
          <w:kern w:val="0"/>
        </w:rPr>
        <w:t>2</w:t>
      </w:r>
      <w:r w:rsidRPr="000E4024">
        <w:rPr>
          <w:rFonts w:ascii="楷体" w:eastAsia="楷体" w:hAnsi="楷体" w:cs="Times New Roman" w:hint="eastAsia"/>
          <w:color w:val="000000"/>
          <w:kern w:val="0"/>
        </w:rPr>
        <w:t>年在泰国东</w:t>
      </w:r>
      <w:bookmarkStart w:id="2" w:name="_GoBack"/>
      <w:bookmarkEnd w:id="2"/>
      <w:r w:rsidRPr="000E4024">
        <w:rPr>
          <w:rFonts w:ascii="楷体" w:eastAsia="楷体" w:hAnsi="楷体" w:cs="Times New Roman" w:hint="eastAsia"/>
          <w:color w:val="000000"/>
          <w:kern w:val="0"/>
        </w:rPr>
        <w:t>方皇家理工大学学习（累计计算）</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2、采用集中授课模式：</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在泰国集中授课时间：每年的1-2月和7-8月。</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在中国集中学习时间：每年的3-6月和9-12月，隔周上课。</w:t>
      </w:r>
    </w:p>
    <w:p w:rsidR="000E4024" w:rsidRPr="000E4024" w:rsidRDefault="000E4024" w:rsidP="000E4024">
      <w:pPr>
        <w:widowControl/>
        <w:spacing w:line="440" w:lineRule="atLeast"/>
        <w:ind w:firstLine="360"/>
        <w:rPr>
          <w:rFonts w:ascii="宋体" w:eastAsia="宋体" w:hAnsi="宋体" w:cs="宋体"/>
          <w:color w:val="000000"/>
          <w:kern w:val="0"/>
        </w:rPr>
      </w:pPr>
      <w:r w:rsidRPr="00375F55">
        <w:rPr>
          <w:rFonts w:ascii="楷体" w:eastAsia="楷体" w:hAnsi="楷体" w:cs="宋体" w:hint="eastAsia"/>
          <w:b/>
          <w:bCs/>
          <w:color w:val="000000"/>
          <w:kern w:val="0"/>
        </w:rPr>
        <w:t>八、入学时间：</w:t>
      </w:r>
      <w:r w:rsidRPr="000E4024">
        <w:rPr>
          <w:rFonts w:ascii="楷体" w:eastAsia="楷体" w:hAnsi="楷体" w:cs="宋体" w:hint="eastAsia"/>
          <w:color w:val="000000"/>
          <w:kern w:val="0"/>
        </w:rPr>
        <w:t>每年</w:t>
      </w:r>
      <w:r w:rsidRPr="00375F55">
        <w:rPr>
          <w:rFonts w:ascii="Calibri" w:eastAsia="楷体" w:hAnsi="Calibri" w:cs="Calibri"/>
          <w:color w:val="000000"/>
          <w:kern w:val="0"/>
        </w:rPr>
        <w:t> </w:t>
      </w:r>
      <w:r w:rsidRPr="000E4024">
        <w:rPr>
          <w:rFonts w:ascii="楷体" w:eastAsia="楷体" w:hAnsi="楷体" w:cs="宋体" w:hint="eastAsia"/>
          <w:color w:val="000000"/>
          <w:kern w:val="0"/>
        </w:rPr>
        <w:t>1月、6月、9月</w:t>
      </w:r>
      <w:r w:rsidRPr="00375F55">
        <w:rPr>
          <w:rFonts w:ascii="楷体" w:eastAsia="楷体" w:hAnsi="楷体" w:cs="宋体" w:hint="eastAsia"/>
          <w:color w:val="000000"/>
          <w:kern w:val="0"/>
        </w:rPr>
        <w:t>。</w:t>
      </w:r>
    </w:p>
    <w:p w:rsidR="000E4024" w:rsidRPr="000E4024" w:rsidRDefault="000E4024" w:rsidP="000E4024">
      <w:pPr>
        <w:widowControl/>
        <w:spacing w:line="440" w:lineRule="atLeast"/>
        <w:ind w:firstLine="360"/>
        <w:rPr>
          <w:rFonts w:ascii="宋体" w:eastAsia="宋体" w:hAnsi="宋体" w:cs="宋体"/>
          <w:color w:val="000000"/>
          <w:kern w:val="0"/>
        </w:rPr>
      </w:pPr>
      <w:r w:rsidRPr="00375F55">
        <w:rPr>
          <w:rFonts w:ascii="楷体" w:eastAsia="楷体" w:hAnsi="楷体" w:cs="宋体" w:hint="eastAsia"/>
          <w:b/>
          <w:bCs/>
          <w:color w:val="000000"/>
          <w:kern w:val="0"/>
        </w:rPr>
        <w:t>九、授课语言：</w:t>
      </w:r>
      <w:r w:rsidRPr="000E4024">
        <w:rPr>
          <w:rFonts w:ascii="楷体" w:eastAsia="楷体" w:hAnsi="楷体" w:cs="宋体" w:hint="eastAsia"/>
          <w:color w:val="000000"/>
          <w:kern w:val="0"/>
        </w:rPr>
        <w:t>中英文双语授课</w:t>
      </w:r>
    </w:p>
    <w:p w:rsidR="000E4024" w:rsidRPr="000E4024" w:rsidRDefault="00BD7C68" w:rsidP="000E4024">
      <w:pPr>
        <w:widowControl/>
        <w:spacing w:before="100" w:after="100" w:afterAutospacing="1" w:line="440" w:lineRule="atLeast"/>
        <w:ind w:firstLine="360"/>
        <w:outlineLvl w:val="2"/>
        <w:rPr>
          <w:rFonts w:ascii="宋体" w:eastAsia="宋体" w:hAnsi="宋体" w:cs="宋体"/>
          <w:b/>
          <w:bCs/>
          <w:color w:val="000000"/>
          <w:kern w:val="0"/>
        </w:rPr>
      </w:pPr>
      <w:bookmarkStart w:id="3" w:name="_Hlk36728764"/>
      <w:bookmarkEnd w:id="3"/>
      <w:r>
        <w:rPr>
          <w:rFonts w:ascii="楷体" w:eastAsia="楷体" w:hAnsi="楷体" w:cs="宋体" w:hint="eastAsia"/>
          <w:b/>
          <w:bCs/>
          <w:color w:val="000000"/>
          <w:kern w:val="0"/>
        </w:rPr>
        <w:t>十</w:t>
      </w:r>
      <w:r w:rsidR="000E4024" w:rsidRPr="000E4024">
        <w:rPr>
          <w:rFonts w:ascii="楷体" w:eastAsia="楷体" w:hAnsi="楷体" w:cs="宋体" w:hint="eastAsia"/>
          <w:b/>
          <w:bCs/>
          <w:color w:val="000000"/>
          <w:kern w:val="0"/>
        </w:rPr>
        <w:t>、学费、杂费</w:t>
      </w:r>
    </w:p>
    <w:p w:rsidR="000E4024" w:rsidRPr="000E4024" w:rsidRDefault="000E4024" w:rsidP="000E4024">
      <w:pPr>
        <w:widowControl/>
        <w:spacing w:line="440" w:lineRule="atLeast"/>
        <w:ind w:firstLine="562"/>
        <w:rPr>
          <w:rFonts w:ascii="Times New Roman" w:eastAsia="宋体" w:hAnsi="Times New Roman" w:cs="Times New Roman"/>
          <w:color w:val="000000"/>
          <w:kern w:val="0"/>
        </w:rPr>
      </w:pPr>
      <w:r w:rsidRPr="00375F55">
        <w:rPr>
          <w:rFonts w:ascii="楷体" w:eastAsia="楷体" w:hAnsi="楷体" w:cs="Times New Roman" w:hint="eastAsia"/>
          <w:b/>
          <w:bCs/>
          <w:color w:val="000000"/>
          <w:kern w:val="0"/>
        </w:rPr>
        <w:t>（一） 学费、杂费标准</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所有</w:t>
      </w:r>
      <w:r w:rsidRPr="00375F55">
        <w:rPr>
          <w:rFonts w:ascii="楷体" w:eastAsia="楷体" w:hAnsi="楷体" w:cs="Times New Roman" w:hint="eastAsia"/>
          <w:color w:val="000000"/>
          <w:kern w:val="0"/>
        </w:rPr>
        <w:t>PHD</w:t>
      </w:r>
      <w:r w:rsidRPr="000E4024">
        <w:rPr>
          <w:rFonts w:ascii="楷体" w:eastAsia="楷体" w:hAnsi="楷体" w:cs="Times New Roman" w:hint="eastAsia"/>
          <w:color w:val="000000"/>
          <w:kern w:val="0"/>
        </w:rPr>
        <w:t>学生收费标准一致，严格按照审批标准执行。2020年博士学位专业课程总学费收费标准：约</w:t>
      </w:r>
      <w:r w:rsidRPr="00375F55">
        <w:rPr>
          <w:rFonts w:ascii="楷体" w:eastAsia="楷体" w:hAnsi="楷体" w:cs="Times New Roman"/>
          <w:color w:val="000000"/>
          <w:kern w:val="0"/>
        </w:rPr>
        <w:t>25.8</w:t>
      </w:r>
      <w:r w:rsidRPr="000E4024">
        <w:rPr>
          <w:rFonts w:ascii="楷体" w:eastAsia="楷体" w:hAnsi="楷体" w:cs="Times New Roman" w:hint="eastAsia"/>
          <w:color w:val="000000"/>
          <w:kern w:val="0"/>
        </w:rPr>
        <w:t>万元人民币（以当期人民币与泰铢的实时汇率为准）。费用包括：申请费、学籍注册费、授课费、学生卡、校内医疗费、公立院校统一学生意外保险、博士生论文指导费、开题答辩费、毕业答辩费用、课程讲义资料费、住宿费、图书馆使用费、运动场馆泳池使用费、校园无线网络使用费等。</w:t>
      </w:r>
      <w:r w:rsidRPr="00375F55">
        <w:rPr>
          <w:rFonts w:ascii="Calibri" w:eastAsia="楷体" w:hAnsi="Calibri" w:cs="Calibri"/>
          <w:color w:val="000000"/>
          <w:kern w:val="0"/>
        </w:rPr>
        <w:t> </w:t>
      </w:r>
    </w:p>
    <w:p w:rsidR="000E4024" w:rsidRPr="000E4024" w:rsidRDefault="000E4024" w:rsidP="000E4024">
      <w:pPr>
        <w:widowControl/>
        <w:spacing w:line="440" w:lineRule="atLeast"/>
        <w:ind w:firstLine="562"/>
        <w:rPr>
          <w:rFonts w:ascii="Times New Roman" w:eastAsia="宋体" w:hAnsi="Times New Roman" w:cs="Times New Roman"/>
          <w:color w:val="000000"/>
          <w:kern w:val="0"/>
        </w:rPr>
      </w:pPr>
      <w:r w:rsidRPr="00375F55">
        <w:rPr>
          <w:rFonts w:ascii="楷体" w:eastAsia="楷体" w:hAnsi="楷体" w:cs="Times New Roman" w:hint="eastAsia"/>
          <w:b/>
          <w:bCs/>
          <w:color w:val="000000"/>
          <w:kern w:val="0"/>
        </w:rPr>
        <w:t>（二）缴费方式</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1）费用分</w:t>
      </w:r>
      <w:r w:rsidRPr="00375F55">
        <w:rPr>
          <w:rFonts w:ascii="楷体" w:eastAsia="楷体" w:hAnsi="楷体" w:cs="Times New Roman" w:hint="eastAsia"/>
          <w:color w:val="000000"/>
          <w:kern w:val="0"/>
        </w:rPr>
        <w:t>三次缴清，面试通过后缴纳人民币共计6.6万元</w:t>
      </w:r>
      <w:r w:rsidR="00375F55" w:rsidRPr="00375F55">
        <w:rPr>
          <w:rFonts w:ascii="楷体" w:eastAsia="楷体" w:hAnsi="楷体" w:cs="Times New Roman" w:hint="eastAsia"/>
          <w:color w:val="000000"/>
          <w:kern w:val="0"/>
        </w:rPr>
        <w:t>学杂费</w:t>
      </w:r>
      <w:r w:rsidRPr="000E4024">
        <w:rPr>
          <w:rFonts w:ascii="楷体" w:eastAsia="楷体" w:hAnsi="楷体" w:cs="Times New Roman" w:hint="eastAsia"/>
          <w:color w:val="000000"/>
          <w:kern w:val="0"/>
        </w:rPr>
        <w:t>，</w:t>
      </w:r>
      <w:r w:rsidRPr="00375F55">
        <w:rPr>
          <w:rFonts w:ascii="楷体" w:eastAsia="楷体" w:hAnsi="楷体" w:cs="Times New Roman" w:hint="eastAsia"/>
          <w:color w:val="000000"/>
          <w:kern w:val="0"/>
        </w:rPr>
        <w:t>收到录取通知书缴纳第一学</w:t>
      </w:r>
      <w:r w:rsidR="00375F55" w:rsidRPr="00375F55">
        <w:rPr>
          <w:rFonts w:ascii="楷体" w:eastAsia="楷体" w:hAnsi="楷体" w:cs="Times New Roman" w:hint="eastAsia"/>
          <w:color w:val="000000"/>
          <w:kern w:val="0"/>
        </w:rPr>
        <w:t>学</w:t>
      </w:r>
      <w:r w:rsidRPr="00375F55">
        <w:rPr>
          <w:rFonts w:ascii="楷体" w:eastAsia="楷体" w:hAnsi="楷体" w:cs="Times New Roman" w:hint="eastAsia"/>
          <w:color w:val="000000"/>
          <w:kern w:val="0"/>
        </w:rPr>
        <w:t>年费用共计52万泰铢，第二学年缴纳共计</w:t>
      </w:r>
      <w:r w:rsidRPr="00375F55">
        <w:rPr>
          <w:rFonts w:ascii="楷体" w:eastAsia="楷体" w:hAnsi="楷体" w:cs="Times New Roman"/>
          <w:color w:val="000000"/>
          <w:kern w:val="0"/>
        </w:rPr>
        <w:t>40</w:t>
      </w:r>
      <w:r w:rsidRPr="00375F55">
        <w:rPr>
          <w:rFonts w:ascii="楷体" w:eastAsia="楷体" w:hAnsi="楷体" w:cs="Times New Roman" w:hint="eastAsia"/>
          <w:color w:val="000000"/>
          <w:kern w:val="0"/>
        </w:rPr>
        <w:t>万泰铢</w:t>
      </w:r>
      <w:r w:rsidRPr="000E4024">
        <w:rPr>
          <w:rFonts w:ascii="楷体" w:eastAsia="楷体" w:hAnsi="楷体" w:cs="Times New Roman" w:hint="eastAsia"/>
          <w:color w:val="000000"/>
          <w:kern w:val="0"/>
        </w:rPr>
        <w:t>。</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2）费用分别缴纳至泰国东方皇家理工大学学校指定的账户。</w:t>
      </w:r>
    </w:p>
    <w:p w:rsidR="000E4024" w:rsidRPr="000E4024" w:rsidRDefault="00BD7C68" w:rsidP="000E4024">
      <w:pPr>
        <w:widowControl/>
        <w:spacing w:before="100" w:after="100" w:afterAutospacing="1" w:line="440" w:lineRule="atLeast"/>
        <w:ind w:firstLine="360"/>
        <w:outlineLvl w:val="2"/>
        <w:rPr>
          <w:rFonts w:ascii="宋体" w:eastAsia="宋体" w:hAnsi="宋体" w:cs="宋体"/>
          <w:b/>
          <w:bCs/>
          <w:color w:val="000000"/>
          <w:kern w:val="0"/>
        </w:rPr>
      </w:pPr>
      <w:r>
        <w:rPr>
          <w:rFonts w:ascii="楷体" w:eastAsia="楷体" w:hAnsi="楷体" w:cs="宋体" w:hint="eastAsia"/>
          <w:b/>
          <w:bCs/>
          <w:color w:val="000000"/>
          <w:kern w:val="0"/>
        </w:rPr>
        <w:t>十一</w:t>
      </w:r>
      <w:r w:rsidR="000E4024" w:rsidRPr="000E4024">
        <w:rPr>
          <w:rFonts w:ascii="楷体" w:eastAsia="楷体" w:hAnsi="楷体" w:cs="宋体" w:hint="eastAsia"/>
          <w:b/>
          <w:bCs/>
          <w:color w:val="000000"/>
          <w:kern w:val="0"/>
        </w:rPr>
        <w:t>、住宿条件</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lastRenderedPageBreak/>
        <w:t>在泰国学习期间，泰国东方皇家理工大学提供空调两人酒店式标准间宿舍。(学生水电网费押金自理)。</w:t>
      </w:r>
    </w:p>
    <w:p w:rsidR="000E4024" w:rsidRPr="000E4024" w:rsidRDefault="000E4024" w:rsidP="000E4024">
      <w:pPr>
        <w:widowControl/>
        <w:spacing w:line="440" w:lineRule="atLeast"/>
        <w:ind w:firstLine="560"/>
        <w:rPr>
          <w:rFonts w:ascii="Times New Roman" w:eastAsia="宋体" w:hAnsi="Times New Roman" w:cs="Times New Roman"/>
          <w:color w:val="000000"/>
          <w:kern w:val="0"/>
        </w:rPr>
      </w:pPr>
      <w:r w:rsidRPr="000E4024">
        <w:rPr>
          <w:rFonts w:ascii="楷体" w:eastAsia="楷体" w:hAnsi="楷体" w:cs="Times New Roman" w:hint="eastAsia"/>
          <w:color w:val="000000"/>
          <w:kern w:val="0"/>
        </w:rPr>
        <w:t>在</w:t>
      </w:r>
      <w:r w:rsidR="00B750DA">
        <w:rPr>
          <w:rFonts w:ascii="楷体" w:eastAsia="楷体" w:hAnsi="楷体" w:cs="Times New Roman" w:hint="eastAsia"/>
          <w:color w:val="000000"/>
          <w:kern w:val="0"/>
        </w:rPr>
        <w:t>中国国内</w:t>
      </w:r>
      <w:r w:rsidR="00375F55">
        <w:rPr>
          <w:rFonts w:ascii="楷体" w:eastAsia="楷体" w:hAnsi="楷体" w:cs="Times New Roman" w:hint="eastAsia"/>
          <w:color w:val="000000"/>
          <w:kern w:val="0"/>
        </w:rPr>
        <w:t>大学</w:t>
      </w:r>
      <w:r w:rsidRPr="000E4024">
        <w:rPr>
          <w:rFonts w:ascii="楷体" w:eastAsia="楷体" w:hAnsi="楷体" w:cs="Times New Roman" w:hint="eastAsia"/>
          <w:color w:val="000000"/>
          <w:kern w:val="0"/>
        </w:rPr>
        <w:t>学习期间，食宿自理。</w:t>
      </w:r>
    </w:p>
    <w:p w:rsidR="000E4024" w:rsidRPr="000E4024" w:rsidRDefault="00BD7C68" w:rsidP="000E4024">
      <w:pPr>
        <w:widowControl/>
        <w:spacing w:line="440" w:lineRule="atLeast"/>
        <w:ind w:firstLine="360"/>
        <w:rPr>
          <w:rFonts w:ascii="宋体" w:eastAsia="宋体" w:hAnsi="宋体" w:cs="宋体"/>
          <w:color w:val="000000"/>
          <w:kern w:val="0"/>
        </w:rPr>
      </w:pPr>
      <w:r>
        <w:rPr>
          <w:rFonts w:ascii="楷体" w:eastAsia="楷体" w:hAnsi="楷体" w:cs="宋体" w:hint="eastAsia"/>
          <w:b/>
          <w:bCs/>
          <w:color w:val="000000"/>
          <w:kern w:val="0"/>
        </w:rPr>
        <w:t>十二</w:t>
      </w:r>
      <w:r w:rsidR="000E4024" w:rsidRPr="00375F55">
        <w:rPr>
          <w:rFonts w:ascii="楷体" w:eastAsia="楷体" w:hAnsi="楷体" w:cs="宋体" w:hint="eastAsia"/>
          <w:b/>
          <w:bCs/>
          <w:color w:val="000000"/>
          <w:kern w:val="0"/>
        </w:rPr>
        <w:t>、国内学历学位认证</w:t>
      </w:r>
    </w:p>
    <w:p w:rsidR="000E4024" w:rsidRPr="00375F55" w:rsidRDefault="000E4024" w:rsidP="000E4024">
      <w:pPr>
        <w:widowControl/>
        <w:spacing w:before="100" w:beforeAutospacing="1" w:after="100" w:afterAutospacing="1" w:line="440" w:lineRule="atLeast"/>
        <w:ind w:firstLine="560"/>
        <w:rPr>
          <w:rFonts w:ascii="楷体" w:eastAsia="楷体" w:hAnsi="楷体" w:cs="宋体"/>
          <w:color w:val="000000"/>
          <w:kern w:val="0"/>
        </w:rPr>
      </w:pPr>
      <w:r w:rsidRPr="000E4024">
        <w:rPr>
          <w:rFonts w:ascii="楷体" w:eastAsia="楷体" w:hAnsi="楷体" w:cs="宋体" w:hint="eastAsia"/>
          <w:color w:val="000000"/>
          <w:kern w:val="0"/>
        </w:rPr>
        <w:t>泰国东方皇家理工大学已获得中国教育部认证：中华人民共和国教育部涉外监管信息网泰国推荐院校名单上序号为第43位，认证信息可查询至:43)</w:t>
      </w:r>
      <w:r w:rsidRPr="000E4024">
        <w:rPr>
          <w:rFonts w:ascii="Calibri" w:eastAsia="楷体" w:hAnsi="Calibri" w:cs="Calibri"/>
          <w:color w:val="000000"/>
          <w:kern w:val="0"/>
        </w:rPr>
        <w:t> </w:t>
      </w:r>
      <w:r w:rsidRPr="00375F55">
        <w:rPr>
          <w:rFonts w:ascii="Calibri" w:eastAsia="楷体" w:hAnsi="Calibri" w:cs="Calibri"/>
          <w:color w:val="000000"/>
          <w:kern w:val="0"/>
        </w:rPr>
        <w:t> </w:t>
      </w:r>
      <w:proofErr w:type="spellStart"/>
      <w:r w:rsidRPr="000E4024">
        <w:rPr>
          <w:rFonts w:ascii="Times New Roman" w:eastAsia="宋体" w:hAnsi="Times New Roman" w:cs="Times New Roman"/>
          <w:color w:val="000000"/>
          <w:kern w:val="0"/>
        </w:rPr>
        <w:t>Rajamangala</w:t>
      </w:r>
      <w:proofErr w:type="spellEnd"/>
      <w:r w:rsidRPr="000E4024">
        <w:rPr>
          <w:rFonts w:ascii="Times New Roman" w:eastAsia="宋体" w:hAnsi="Times New Roman" w:cs="Times New Roman"/>
          <w:color w:val="000000"/>
          <w:kern w:val="0"/>
        </w:rPr>
        <w:t xml:space="preserve"> University of Technology </w:t>
      </w:r>
      <w:proofErr w:type="spellStart"/>
      <w:r w:rsidRPr="000E4024">
        <w:rPr>
          <w:rFonts w:ascii="Times New Roman" w:eastAsia="宋体" w:hAnsi="Times New Roman" w:cs="Times New Roman"/>
          <w:color w:val="000000"/>
          <w:kern w:val="0"/>
        </w:rPr>
        <w:t>Tawan</w:t>
      </w:r>
      <w:proofErr w:type="spellEnd"/>
      <w:r w:rsidRPr="000E4024">
        <w:rPr>
          <w:rFonts w:ascii="Times New Roman" w:eastAsia="宋体" w:hAnsi="Times New Roman" w:cs="Times New Roman"/>
          <w:color w:val="000000"/>
          <w:kern w:val="0"/>
        </w:rPr>
        <w:t>-Ok (RMUTTO)</w:t>
      </w:r>
      <w:r w:rsidRPr="000E4024">
        <w:rPr>
          <w:rFonts w:ascii="楷体" w:eastAsia="楷体" w:hAnsi="楷体" w:cs="宋体" w:hint="eastAsia"/>
          <w:color w:val="000000"/>
          <w:kern w:val="0"/>
        </w:rPr>
        <w:t>泰国东方皇家理工大学。</w:t>
      </w:r>
    </w:p>
    <w:p w:rsidR="00375F55" w:rsidRPr="00375F55" w:rsidRDefault="00375F55" w:rsidP="00375F55">
      <w:pPr>
        <w:widowControl/>
        <w:spacing w:before="100" w:beforeAutospacing="1" w:after="100" w:afterAutospacing="1" w:line="440" w:lineRule="atLeast"/>
        <w:ind w:firstLine="560"/>
        <w:rPr>
          <w:rFonts w:ascii="楷体" w:eastAsia="楷体" w:hAnsi="楷体" w:cs="宋体"/>
          <w:color w:val="000000"/>
          <w:kern w:val="0"/>
        </w:rPr>
      </w:pPr>
      <w:r>
        <w:rPr>
          <w:rFonts w:ascii="楷体" w:eastAsia="楷体" w:hAnsi="楷体" w:cs="宋体"/>
          <w:color w:val="000000"/>
          <w:kern w:val="0"/>
        </w:rPr>
        <w:t>联系地址：</w:t>
      </w:r>
      <w:r>
        <w:rPr>
          <w:rFonts w:ascii="楷体" w:eastAsia="楷体" w:hAnsi="楷体" w:cs="宋体" w:hint="eastAsia"/>
          <w:color w:val="000000"/>
          <w:kern w:val="0"/>
        </w:rPr>
        <w:t>江西</w:t>
      </w:r>
      <w:r w:rsidRPr="00375F55">
        <w:rPr>
          <w:rFonts w:ascii="楷体" w:eastAsia="楷体" w:hAnsi="楷体" w:cs="宋体" w:hint="eastAsia"/>
          <w:color w:val="000000"/>
          <w:kern w:val="0"/>
        </w:rPr>
        <w:t>省南昌市双港东大街</w:t>
      </w:r>
      <w:r w:rsidRPr="00375F55">
        <w:rPr>
          <w:rFonts w:ascii="楷体" w:eastAsia="楷体" w:hAnsi="楷体" w:cs="宋体"/>
          <w:color w:val="000000"/>
          <w:kern w:val="0"/>
        </w:rPr>
        <w:t>168号，</w:t>
      </w:r>
      <w:r w:rsidRPr="00375F55">
        <w:rPr>
          <w:rFonts w:ascii="楷体" w:eastAsia="楷体" w:hAnsi="楷体" w:cs="宋体" w:hint="eastAsia"/>
          <w:color w:val="000000"/>
          <w:kern w:val="0"/>
        </w:rPr>
        <w:t>江西</w:t>
      </w:r>
      <w:r w:rsidRPr="00375F55">
        <w:rPr>
          <w:rFonts w:ascii="楷体" w:eastAsia="楷体" w:hAnsi="楷体" w:cs="宋体"/>
          <w:color w:val="000000"/>
          <w:kern w:val="0"/>
        </w:rPr>
        <w:t>财经大学</w:t>
      </w:r>
      <w:r w:rsidRPr="00375F55">
        <w:rPr>
          <w:rFonts w:ascii="楷体" w:eastAsia="楷体" w:hAnsi="楷体" w:cs="宋体" w:hint="eastAsia"/>
          <w:color w:val="000000"/>
          <w:kern w:val="0"/>
        </w:rPr>
        <w:t>北</w:t>
      </w:r>
      <w:r w:rsidRPr="00375F55">
        <w:rPr>
          <w:rFonts w:ascii="楷体" w:eastAsia="楷体" w:hAnsi="楷体" w:cs="宋体"/>
          <w:color w:val="000000"/>
          <w:kern w:val="0"/>
        </w:rPr>
        <w:t>区</w:t>
      </w:r>
      <w:r w:rsidRPr="00375F55">
        <w:rPr>
          <w:rFonts w:ascii="楷体" w:eastAsia="楷体" w:hAnsi="楷体" w:cs="宋体" w:hint="eastAsia"/>
          <w:color w:val="000000"/>
          <w:kern w:val="0"/>
        </w:rPr>
        <w:t>创客大楼</w:t>
      </w:r>
      <w:r>
        <w:rPr>
          <w:rFonts w:ascii="楷体" w:eastAsia="楷体" w:hAnsi="楷体" w:cs="宋体" w:hint="eastAsia"/>
          <w:color w:val="000000"/>
          <w:kern w:val="0"/>
        </w:rPr>
        <w:t>泰国皇家理大学江西办事处</w:t>
      </w:r>
      <w:r w:rsidRPr="00375F55">
        <w:rPr>
          <w:rFonts w:ascii="楷体" w:eastAsia="楷体" w:hAnsi="楷体" w:cs="宋体" w:hint="eastAsia"/>
          <w:color w:val="000000"/>
          <w:kern w:val="0"/>
        </w:rPr>
        <w:t>F</w:t>
      </w:r>
      <w:r w:rsidRPr="00375F55">
        <w:rPr>
          <w:rFonts w:ascii="楷体" w:eastAsia="楷体" w:hAnsi="楷体" w:cs="宋体"/>
          <w:color w:val="000000"/>
          <w:kern w:val="0"/>
        </w:rPr>
        <w:t>205。</w:t>
      </w:r>
    </w:p>
    <w:p w:rsidR="00375F55" w:rsidRPr="000E4024" w:rsidRDefault="00375F55" w:rsidP="00375F55">
      <w:pPr>
        <w:widowControl/>
        <w:spacing w:before="100" w:beforeAutospacing="1" w:after="100" w:afterAutospacing="1" w:line="440" w:lineRule="atLeast"/>
        <w:ind w:firstLine="560"/>
        <w:rPr>
          <w:rFonts w:ascii="楷体" w:eastAsia="楷体" w:hAnsi="楷体" w:cs="宋体"/>
          <w:color w:val="000000"/>
          <w:kern w:val="0"/>
        </w:rPr>
      </w:pPr>
      <w:r w:rsidRPr="00375F55">
        <w:rPr>
          <w:rFonts w:ascii="楷体" w:eastAsia="楷体" w:hAnsi="楷体" w:cs="宋体"/>
          <w:color w:val="000000"/>
          <w:kern w:val="0"/>
        </w:rPr>
        <w:t>联系电话：0791-83866646    15079178188</w:t>
      </w:r>
    </w:p>
    <w:p w:rsidR="00EA0D0E" w:rsidRDefault="004E1C3A"/>
    <w:sectPr w:rsidR="00EA0D0E" w:rsidSect="00982E2D">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24"/>
    <w:rsid w:val="000E4024"/>
    <w:rsid w:val="001C30CD"/>
    <w:rsid w:val="001F1E07"/>
    <w:rsid w:val="00375F55"/>
    <w:rsid w:val="00394C4E"/>
    <w:rsid w:val="004E1C3A"/>
    <w:rsid w:val="006D0CE6"/>
    <w:rsid w:val="00772E94"/>
    <w:rsid w:val="00871757"/>
    <w:rsid w:val="00982E2D"/>
    <w:rsid w:val="0099227B"/>
    <w:rsid w:val="00B42D36"/>
    <w:rsid w:val="00B750DA"/>
    <w:rsid w:val="00BD7C68"/>
    <w:rsid w:val="00C83804"/>
    <w:rsid w:val="00CA410E"/>
    <w:rsid w:val="00DC0010"/>
    <w:rsid w:val="00ED6F80"/>
    <w:rsid w:val="00F2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C40D19"/>
  <w14:defaultImageDpi w14:val="32767"/>
  <w15:chartTrackingRefBased/>
  <w15:docId w15:val="{39446981-9AFE-524A-81D6-F5925558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E402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E4024"/>
    <w:rPr>
      <w:rFonts w:ascii="宋体" w:eastAsia="宋体" w:hAnsi="宋体" w:cs="宋体"/>
      <w:b/>
      <w:bCs/>
      <w:kern w:val="0"/>
      <w:sz w:val="27"/>
      <w:szCs w:val="27"/>
    </w:rPr>
  </w:style>
  <w:style w:type="character" w:styleId="a3">
    <w:name w:val="Strong"/>
    <w:basedOn w:val="a0"/>
    <w:uiPriority w:val="22"/>
    <w:qFormat/>
    <w:rsid w:val="000E4024"/>
    <w:rPr>
      <w:b/>
      <w:bCs/>
    </w:rPr>
  </w:style>
  <w:style w:type="character" w:customStyle="1" w:styleId="apple-converted-space">
    <w:name w:val="apple-converted-space"/>
    <w:basedOn w:val="a0"/>
    <w:rsid w:val="000E4024"/>
  </w:style>
  <w:style w:type="paragraph" w:styleId="a4">
    <w:name w:val="Normal (Web)"/>
    <w:basedOn w:val="a"/>
    <w:uiPriority w:val="99"/>
    <w:semiHidden/>
    <w:unhideWhenUsed/>
    <w:rsid w:val="000E4024"/>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6</cp:revision>
  <dcterms:created xsi:type="dcterms:W3CDTF">2020-09-29T09:08:00Z</dcterms:created>
  <dcterms:modified xsi:type="dcterms:W3CDTF">2020-09-29T15:10:00Z</dcterms:modified>
</cp:coreProperties>
</file>